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E49B">
      <w:pPr>
        <w:widowControl w:val="0"/>
        <w:spacing w:after="0" w:line="600" w:lineRule="exact"/>
        <w:jc w:val="right"/>
        <w:rPr>
          <w:rFonts w:hint="eastAsia" w:ascii="黑体" w:hAnsi="黑体" w:eastAsia="黑体" w:cs="黑体"/>
          <w:bCs/>
          <w:color w:val="000000"/>
          <w:kern w:val="2"/>
          <w:sz w:val="32"/>
          <w:szCs w:val="32"/>
          <w:lang w:eastAsia="zh-CN"/>
        </w:rPr>
      </w:pPr>
      <w:bookmarkStart w:id="1" w:name="_GoBack"/>
      <w:r>
        <w:rPr>
          <w:rFonts w:hint="eastAsia" w:ascii="黑体" w:hAnsi="黑体" w:eastAsia="黑体" w:cs="黑体"/>
          <w:bCs/>
          <w:color w:val="000000"/>
          <w:kern w:val="2"/>
          <w:sz w:val="32"/>
          <w:szCs w:val="32"/>
          <w:lang w:eastAsia="zh-CN"/>
        </w:rPr>
        <w:t>KY202605</w:t>
      </w:r>
      <w:r>
        <w:rPr>
          <w:rFonts w:hint="eastAsia" w:ascii="黑体" w:hAnsi="黑体" w:eastAsia="黑体" w:cs="黑体"/>
          <w:bCs/>
          <w:color w:val="000000"/>
          <w:kern w:val="2"/>
          <w:sz w:val="32"/>
          <w:szCs w:val="32"/>
          <w:lang w:val="en-US" w:eastAsia="zh-CN"/>
        </w:rPr>
        <w:t>20</w:t>
      </w:r>
      <w:r>
        <w:rPr>
          <w:rFonts w:hint="eastAsia" w:ascii="黑体" w:hAnsi="黑体" w:eastAsia="黑体" w:cs="黑体"/>
          <w:bCs/>
          <w:color w:val="000000"/>
          <w:kern w:val="2"/>
          <w:sz w:val="32"/>
          <w:szCs w:val="32"/>
          <w:lang w:eastAsia="zh-CN"/>
        </w:rPr>
        <w:t>V</w:t>
      </w:r>
      <w:r>
        <w:rPr>
          <w:rFonts w:hint="eastAsia" w:ascii="黑体" w:hAnsi="黑体" w:eastAsia="黑体" w:cs="黑体"/>
          <w:bCs/>
          <w:color w:val="000000"/>
          <w:kern w:val="2"/>
          <w:sz w:val="32"/>
          <w:szCs w:val="32"/>
          <w:lang w:val="en-US" w:eastAsia="zh-CN"/>
        </w:rPr>
        <w:t>8</w:t>
      </w:r>
      <w:r>
        <w:rPr>
          <w:rFonts w:hint="eastAsia" w:ascii="黑体" w:hAnsi="黑体" w:eastAsia="黑体" w:cs="黑体"/>
          <w:bCs/>
          <w:color w:val="000000"/>
          <w:kern w:val="2"/>
          <w:sz w:val="32"/>
          <w:szCs w:val="32"/>
          <w:lang w:eastAsia="zh-CN"/>
        </w:rPr>
        <w:t>ZZ</w:t>
      </w:r>
    </w:p>
    <w:bookmarkEnd w:id="1"/>
    <w:p w14:paraId="1F29D1F9">
      <w:pPr>
        <w:widowControl w:val="0"/>
        <w:spacing w:after="0" w:line="600" w:lineRule="exact"/>
        <w:jc w:val="center"/>
        <w:rPr>
          <w:rFonts w:ascii="方正小标宋简体" w:hAnsi="Times New Roman" w:eastAsia="方正小标宋简体" w:cs="Times New Roman"/>
          <w:bCs/>
          <w:color w:val="000000"/>
          <w:kern w:val="2"/>
          <w:sz w:val="44"/>
          <w:szCs w:val="36"/>
          <w:lang w:eastAsia="zh-CN"/>
        </w:rPr>
      </w:pPr>
      <w:r>
        <w:rPr>
          <w:rFonts w:hint="eastAsia" w:ascii="方正小标宋简体" w:hAnsi="Times New Roman" w:eastAsia="方正小标宋简体" w:cs="Times New Roman"/>
          <w:bCs/>
          <w:color w:val="000000"/>
          <w:kern w:val="2"/>
          <w:sz w:val="44"/>
          <w:szCs w:val="36"/>
          <w:lang w:eastAsia="zh-CN"/>
        </w:rPr>
        <w:t>关于征集2027年度广东省量子科学战略专项指南建议的通知</w:t>
      </w:r>
    </w:p>
    <w:p w14:paraId="2268F1C2">
      <w:pPr>
        <w:rPr>
          <w:rFonts w:hint="eastAsia"/>
          <w:lang w:eastAsia="zh-CN"/>
        </w:rPr>
      </w:pPr>
    </w:p>
    <w:p w14:paraId="2F0F7113">
      <w:pPr>
        <w:spacing w:line="560" w:lineRule="exact"/>
        <w:ind w:firstLine="648"/>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根据《广东省量子科学战略专项“首席科学家+板块委托制”组织实施方案》（粤科基字〔2022〕266号）要求，为做好202</w:t>
      </w:r>
      <w:r>
        <w:rPr>
          <w:rFonts w:hint="eastAsia" w:ascii="仿宋_GB2312" w:hAnsi="仿宋_GB2312" w:eastAsia="仿宋_GB2312" w:cs="Times New Roman"/>
          <w:bCs/>
          <w:sz w:val="32"/>
          <w:szCs w:val="32"/>
          <w:lang w:eastAsia="zh-CN"/>
        </w:rPr>
        <w:t>7</w:t>
      </w:r>
      <w:r>
        <w:rPr>
          <w:rFonts w:ascii="仿宋_GB2312" w:hAnsi="仿宋_GB2312" w:eastAsia="仿宋_GB2312" w:cs="Times New Roman"/>
          <w:bCs/>
          <w:sz w:val="32"/>
          <w:szCs w:val="32"/>
          <w:lang w:eastAsia="zh-CN"/>
        </w:rPr>
        <w:t>年度量子科学战略专项指南建议编制工作，现</w:t>
      </w:r>
      <w:r>
        <w:rPr>
          <w:rFonts w:hint="eastAsia" w:ascii="仿宋_GB2312" w:hAnsi="仿宋_GB2312" w:eastAsia="仿宋_GB2312" w:cs="Times New Roman"/>
          <w:bCs/>
          <w:sz w:val="32"/>
          <w:szCs w:val="32"/>
          <w:lang w:eastAsia="zh-CN"/>
        </w:rPr>
        <w:t>就</w:t>
      </w:r>
      <w:r>
        <w:rPr>
          <w:rFonts w:ascii="仿宋_GB2312" w:hAnsi="仿宋_GB2312" w:eastAsia="仿宋_GB2312" w:cs="Times New Roman"/>
          <w:bCs/>
          <w:sz w:val="32"/>
          <w:szCs w:val="32"/>
          <w:lang w:eastAsia="zh-CN"/>
        </w:rPr>
        <w:t>有关事项通知如下。</w:t>
      </w:r>
    </w:p>
    <w:p w14:paraId="6BB91A7F">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总体要求</w:t>
      </w:r>
    </w:p>
    <w:p w14:paraId="373A6BF4">
      <w:pPr>
        <w:spacing w:line="560" w:lineRule="exact"/>
        <w:ind w:firstLine="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指南建议应立足粤港澳大湾区，面向国家科技战略需求和国际科技前沿，围绕量子物态、量子计算、量子精密测量以及其它量子基础研究方向，聚焦前瞻性、战略性、基础性研究，凝练具有引领性与可组织实施性的科研命题。</w:t>
      </w:r>
    </w:p>
    <w:p w14:paraId="574C462F">
      <w:pPr>
        <w:spacing w:line="560" w:lineRule="exact"/>
        <w:ind w:firstLine="648"/>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（一）量子物态与新量子效应</w:t>
      </w:r>
    </w:p>
    <w:p w14:paraId="242D4B0C">
      <w:pPr>
        <w:spacing w:line="560" w:lineRule="exact"/>
        <w:ind w:firstLine="640" w:firstLineChars="200"/>
        <w:outlineLvl w:val="2"/>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聚焦拓扑量子物态（量子反常霍尔效应、马约拉纳费米子等）、磁性量子态调控（非共线反铁磁、量子自旋液体等）、量子功能材料开发（新型高温超导、拓扑与磁性材料及其异质结、超结构等），</w:t>
      </w:r>
      <w:r>
        <w:rPr>
          <w:rFonts w:hint="eastAsia" w:ascii="仿宋_GB2312" w:hAnsi="仿宋_GB2312" w:eastAsia="仿宋_GB2312" w:cs="仿宋_GB2312"/>
          <w:sz w:val="32"/>
          <w:szCs w:val="32"/>
          <w:lang w:eastAsia="zh-CN"/>
        </w:rPr>
        <w:t>融合机器学习算法和人工智能技术，发展对新型量子材料的精确设计和预测，</w:t>
      </w:r>
      <w:r>
        <w:rPr>
          <w:rFonts w:hint="eastAsia" w:ascii="仿宋_GB2312" w:hAnsi="仿宋_GB2312" w:eastAsia="仿宋_GB2312" w:cs="Times New Roman"/>
          <w:bCs/>
          <w:sz w:val="32"/>
          <w:szCs w:val="32"/>
          <w:lang w:eastAsia="zh-CN"/>
        </w:rPr>
        <w:t>探索新型量子物态及其物理机制，为低功耗量子器件和拓扑量子计算提供材料与物理基础。</w:t>
      </w:r>
    </w:p>
    <w:p w14:paraId="78A4DA41">
      <w:pPr>
        <w:numPr>
          <w:ilvl w:val="0"/>
          <w:numId w:val="2"/>
        </w:numPr>
        <w:spacing w:line="560" w:lineRule="exact"/>
        <w:ind w:firstLine="648"/>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量子计算</w:t>
      </w:r>
    </w:p>
    <w:p w14:paraId="6755FA14">
      <w:pPr>
        <w:spacing w:line="560" w:lineRule="exact"/>
        <w:ind w:firstLine="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重点发展超导、中性原子、硅基等量子计算技术，提升大规模量子比特集成与高保真操控能力，推进容错量子计算关键技术攻关；布局多体系混合量子计算与量子-经典融合架构，推动光量子算法、光量子芯片及混合量子计算接口研发，打通超导、离子阱、光量子、色心、量子点等体系的物理互联，开展可纠错量子算法示范与验证，形成可扩展的量子计算关键技术储备。</w:t>
      </w:r>
    </w:p>
    <w:p w14:paraId="6867C4E1">
      <w:pPr>
        <w:numPr>
          <w:ilvl w:val="0"/>
          <w:numId w:val="2"/>
        </w:numPr>
        <w:spacing w:line="560" w:lineRule="exact"/>
        <w:ind w:firstLine="648"/>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量子精密测量</w:t>
      </w:r>
    </w:p>
    <w:p w14:paraId="6FF8CFFD">
      <w:pPr>
        <w:spacing w:line="560" w:lineRule="exact"/>
        <w:ind w:firstLine="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聚焦量子信息处理与量子模拟、量子精密测量与传感、光学集成（光量子集成器件和芯片）三大方向。开展新型超冷原子及分子系统、超构材料科学、多体物理模拟和量子网络关键器件研究；发展纳米金刚石、冷原子钟、光镊光钟、原子磁力计等量子传感技术；推进拓扑光子学与强光-物质相互作用、等离激元-激子耦合、界面量子调控等研究。</w:t>
      </w:r>
    </w:p>
    <w:p w14:paraId="37501E76">
      <w:pPr>
        <w:numPr>
          <w:ilvl w:val="0"/>
          <w:numId w:val="2"/>
        </w:numPr>
        <w:spacing w:line="560" w:lineRule="exact"/>
        <w:ind w:firstLine="648"/>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其他基础研究方向</w:t>
      </w:r>
    </w:p>
    <w:p w14:paraId="17AD70F5">
      <w:pPr>
        <w:spacing w:line="560" w:lineRule="exact"/>
        <w:ind w:firstLine="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支持原子-分子-光学量子物性与技术、功能量子芯片与技术、关键核心设备等领域的前沿探索，鼓励提出具有原创性、前瞻性的研究方向。</w:t>
      </w:r>
    </w:p>
    <w:p w14:paraId="73D3238B">
      <w:pPr>
        <w:spacing w:line="560" w:lineRule="exact"/>
        <w:ind w:firstLine="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指南建议内容应符合以下要求：</w:t>
      </w:r>
    </w:p>
    <w:p w14:paraId="060782B6">
      <w:p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（一）科学性。</w:t>
      </w:r>
      <w:r>
        <w:rPr>
          <w:rFonts w:hint="eastAsia" w:ascii="仿宋_GB2312" w:hAnsi="仿宋_GB2312" w:eastAsia="仿宋_GB2312" w:cs="Times New Roman"/>
          <w:bCs/>
          <w:sz w:val="32"/>
          <w:szCs w:val="32"/>
          <w:lang w:eastAsia="zh-CN"/>
        </w:rPr>
        <w:t>提出围绕国家战略需求和粤港澳大湾区产业发展需求的科学问题，聚焦基础研究特点，以精准的内容和独具特色的创新性为特征。</w:t>
      </w:r>
    </w:p>
    <w:p w14:paraId="692E334B">
      <w:pPr>
        <w:numPr>
          <w:ilvl w:val="0"/>
          <w:numId w:val="3"/>
        </w:num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规范性。</w:t>
      </w:r>
      <w:r>
        <w:rPr>
          <w:rFonts w:hint="eastAsia" w:ascii="仿宋_GB2312" w:hAnsi="仿宋_GB2312" w:eastAsia="仿宋_GB2312" w:cs="Times New Roman"/>
          <w:bCs/>
          <w:sz w:val="32"/>
          <w:szCs w:val="32"/>
          <w:lang w:eastAsia="zh-CN"/>
        </w:rPr>
        <w:t>在指南中应使用规范的专业术语，文字表述应简明扼要、高度凝练。每条指南建议只涉及一个研究方向或领域，以确保研究方向的准确性和专业性。</w:t>
      </w:r>
    </w:p>
    <w:p w14:paraId="2C72A069">
      <w:pPr>
        <w:numPr>
          <w:ilvl w:val="0"/>
          <w:numId w:val="3"/>
        </w:num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开放性与差异化。</w:t>
      </w:r>
      <w:r>
        <w:rPr>
          <w:rFonts w:hint="eastAsia" w:ascii="仿宋_GB2312" w:hAnsi="仿宋_GB2312" w:eastAsia="仿宋_GB2312" w:cs="Times New Roman"/>
          <w:bCs/>
          <w:sz w:val="32"/>
          <w:szCs w:val="32"/>
          <w:lang w:eastAsia="zh-CN"/>
        </w:rPr>
        <w:t>研究方向应保持开放包容，不设置非必要限制，鼓励多元化创新与良性竞争。</w:t>
      </w:r>
    </w:p>
    <w:p w14:paraId="44809FA8">
      <w:pPr>
        <w:numPr>
          <w:ilvl w:val="0"/>
          <w:numId w:val="3"/>
        </w:num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安全性。</w:t>
      </w:r>
      <w:r>
        <w:rPr>
          <w:rFonts w:hint="eastAsia" w:ascii="仿宋_GB2312" w:hAnsi="仿宋_GB2312" w:eastAsia="仿宋_GB2312" w:cs="Times New Roman"/>
          <w:bCs/>
          <w:sz w:val="32"/>
          <w:szCs w:val="32"/>
          <w:lang w:eastAsia="zh-CN"/>
        </w:rPr>
        <w:t>需要高度关注生物安全、信息安全等科技安全风险，并遵循科研伦理准则。</w:t>
      </w:r>
    </w:p>
    <w:p w14:paraId="1579BCC3">
      <w:pPr>
        <w:numPr>
          <w:ilvl w:val="0"/>
          <w:numId w:val="3"/>
        </w:num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强化原始创新。</w:t>
      </w:r>
      <w:r>
        <w:rPr>
          <w:rFonts w:hint="eastAsia" w:ascii="仿宋_GB2312" w:hAnsi="仿宋_GB2312" w:eastAsia="仿宋_GB2312" w:cs="Times New Roman"/>
          <w:bCs/>
          <w:sz w:val="32"/>
          <w:szCs w:val="32"/>
          <w:lang w:eastAsia="zh-CN"/>
        </w:rPr>
        <w:t>突出原始创新,聚焦具有颠覆性潜力的前沿科学问题和关键技术突破。</w:t>
      </w:r>
    </w:p>
    <w:p w14:paraId="7A4B3850">
      <w:pPr>
        <w:numPr>
          <w:ilvl w:val="0"/>
          <w:numId w:val="3"/>
        </w:numPr>
        <w:spacing w:line="560" w:lineRule="exact"/>
        <w:ind w:firstLine="648"/>
        <w:rPr>
          <w:rFonts w:hint="eastAsia" w:ascii="仿宋_GB2312" w:hAnsi="仿宋_GB2312" w:eastAsia="仿宋_GB2312" w:cs="Times New Roman"/>
          <w:bCs/>
          <w:sz w:val="32"/>
          <w:szCs w:val="32"/>
          <w:lang w:eastAsia="zh-CN"/>
        </w:rPr>
      </w:pPr>
      <w:r>
        <w:rPr>
          <w:rFonts w:hint="eastAsia" w:ascii="楷体_GB2312" w:hAnsi="楷体_GB2312" w:eastAsia="楷体_GB2312" w:cs="楷体_GB2312"/>
          <w:bCs/>
          <w:sz w:val="32"/>
          <w:szCs w:val="32"/>
          <w:lang w:eastAsia="zh-CN"/>
        </w:rPr>
        <w:t>鼓励交叉融合。</w:t>
      </w:r>
      <w:r>
        <w:rPr>
          <w:rFonts w:hint="eastAsia" w:ascii="仿宋_GB2312" w:hAnsi="仿宋_GB2312" w:eastAsia="仿宋_GB2312" w:cs="Times New Roman"/>
          <w:bCs/>
          <w:sz w:val="32"/>
          <w:szCs w:val="32"/>
          <w:lang w:eastAsia="zh-CN"/>
        </w:rPr>
        <w:t>注重领域间交叉融合,引导形成优势互补、资源共享的协同创新生态,为后续项目组织实施中的有组织科研奠定基础。</w:t>
      </w:r>
    </w:p>
    <w:p w14:paraId="32BC4D19">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征集要求</w:t>
      </w:r>
    </w:p>
    <w:p w14:paraId="18E08B33">
      <w:pPr>
        <w:pStyle w:val="14"/>
        <w:spacing w:line="560" w:lineRule="exact"/>
        <w:ind w:left="420" w:firstLine="640"/>
        <w:rPr>
          <w:rFonts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2027年度</w:t>
      </w:r>
      <w:r>
        <w:rPr>
          <w:rFonts w:ascii="仿宋_GB2312" w:hAnsi="仿宋_GB2312" w:eastAsia="仿宋_GB2312" w:cs="Times New Roman"/>
          <w:bCs/>
          <w:sz w:val="32"/>
          <w:szCs w:val="32"/>
          <w:lang w:eastAsia="zh-CN"/>
        </w:rPr>
        <w:t>量子科学战略专项</w:t>
      </w:r>
      <w:r>
        <w:rPr>
          <w:rFonts w:hint="eastAsia" w:ascii="仿宋_GB2312" w:hAnsi="仿宋_GB2312" w:eastAsia="仿宋_GB2312" w:cs="Times New Roman"/>
          <w:bCs/>
          <w:sz w:val="32"/>
          <w:szCs w:val="32"/>
          <w:lang w:eastAsia="zh-CN"/>
        </w:rPr>
        <w:t>指南建议征集采取分类组织方式。</w:t>
      </w:r>
      <w:r>
        <w:rPr>
          <w:rFonts w:ascii="仿宋_GB2312" w:hAnsi="仿宋_GB2312" w:eastAsia="仿宋_GB2312" w:cs="Times New Roman"/>
          <w:bCs/>
          <w:sz w:val="32"/>
          <w:szCs w:val="32"/>
          <w:lang w:eastAsia="zh-CN"/>
        </w:rPr>
        <w:t>重大项目、重点项目指南建议实行定向征集，</w:t>
      </w:r>
      <w:r>
        <w:rPr>
          <w:rFonts w:hint="eastAsia" w:ascii="仿宋_GB2312" w:hAnsi="仿宋_GB2312" w:eastAsia="仿宋_GB2312" w:cs="Times New Roman"/>
          <w:bCs/>
          <w:sz w:val="32"/>
          <w:szCs w:val="32"/>
          <w:lang w:eastAsia="zh-CN"/>
        </w:rPr>
        <w:t>由相关单位</w:t>
      </w:r>
      <w:r>
        <w:rPr>
          <w:rFonts w:ascii="仿宋_GB2312" w:hAnsi="仿宋_GB2312" w:eastAsia="仿宋_GB2312" w:cs="Times New Roman"/>
          <w:bCs/>
          <w:sz w:val="32"/>
          <w:szCs w:val="32"/>
          <w:lang w:eastAsia="zh-CN"/>
        </w:rPr>
        <w:t>限额推荐；一般项目指南建议实行公开征集</w:t>
      </w:r>
      <w:r>
        <w:rPr>
          <w:rFonts w:hint="eastAsia" w:ascii="仿宋_GB2312" w:hAnsi="仿宋_GB2312" w:eastAsia="仿宋_GB2312" w:cs="Times New Roman"/>
          <w:bCs/>
          <w:sz w:val="32"/>
          <w:szCs w:val="32"/>
          <w:lang w:eastAsia="zh-CN"/>
        </w:rPr>
        <w:t>，由各依托单位提报</w:t>
      </w:r>
      <w:r>
        <w:rPr>
          <w:rFonts w:ascii="仿宋_GB2312" w:hAnsi="仿宋_GB2312" w:eastAsia="仿宋_GB2312" w:cs="Times New Roman"/>
          <w:bCs/>
          <w:sz w:val="32"/>
          <w:szCs w:val="32"/>
          <w:lang w:eastAsia="zh-CN"/>
        </w:rPr>
        <w:t>。各类指南建议在提报人条件、推荐单位要求、审核把关程序及诚信合规要求等方面</w:t>
      </w:r>
      <w:r>
        <w:rPr>
          <w:rFonts w:hint="eastAsia" w:ascii="仿宋_GB2312" w:hAnsi="仿宋_GB2312" w:eastAsia="仿宋_GB2312" w:cs="Times New Roman"/>
          <w:bCs/>
          <w:sz w:val="32"/>
          <w:szCs w:val="32"/>
          <w:lang w:eastAsia="zh-CN"/>
        </w:rPr>
        <w:t>的要求</w:t>
      </w:r>
      <w:r>
        <w:rPr>
          <w:rFonts w:ascii="仿宋_GB2312" w:hAnsi="仿宋_GB2312" w:eastAsia="仿宋_GB2312" w:cs="Times New Roman"/>
          <w:bCs/>
          <w:sz w:val="32"/>
          <w:szCs w:val="32"/>
          <w:lang w:eastAsia="zh-CN"/>
        </w:rPr>
        <w:t>一致。</w:t>
      </w:r>
    </w:p>
    <w:p w14:paraId="7CE6919E">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（一）推荐单位范围</w:t>
      </w:r>
    </w:p>
    <w:p w14:paraId="346D5CED">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指南建议推荐单位应为广东省量子科学战略专项的依托单位。2027年度指南建议实行单位统一组织、统一审核、统一推荐，不受理个人直接提报。</w:t>
      </w:r>
    </w:p>
    <w:p w14:paraId="6292B3C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（二）指南建议人要求</w:t>
      </w:r>
    </w:p>
    <w:p w14:paraId="3106F424">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指南第一建议人原则上应具备以下条件：</w:t>
      </w:r>
    </w:p>
    <w:p w14:paraId="72D0DAAC">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1、具有高级专业技术职务（职称）；</w:t>
      </w:r>
    </w:p>
    <w:p w14:paraId="5161F145">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2、原则上具有承担国家自然科学基金项目或省级基础研究重点项目及以上科研任务的经历；</w:t>
      </w:r>
    </w:p>
    <w:p w14:paraId="3571B66A">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3、熟悉本领域国内外发展态势，具备凝练重大科学问题和组织实施项目的能力；</w:t>
      </w:r>
    </w:p>
    <w:p w14:paraId="666FCBE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4、每名第一建议人限提出1项指南建议。</w:t>
      </w:r>
    </w:p>
    <w:p w14:paraId="69ED92F6">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（三）推荐数量要求</w:t>
      </w:r>
    </w:p>
    <w:p w14:paraId="5FC49034">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1、</w:t>
      </w:r>
      <w:r>
        <w:rPr>
          <w:rFonts w:hint="eastAsia" w:ascii="仿宋_GB2312" w:hAnsi="仿宋_GB2312" w:eastAsia="仿宋_GB2312" w:cs="Times New Roman"/>
          <w:b/>
          <w:sz w:val="32"/>
          <w:szCs w:val="32"/>
          <w:lang w:eastAsia="zh-CN"/>
        </w:rPr>
        <w:t>重大项目、重点项目</w:t>
      </w:r>
      <w:r>
        <w:rPr>
          <w:rFonts w:hint="eastAsia" w:ascii="仿宋_GB2312" w:hAnsi="仿宋_GB2312" w:eastAsia="仿宋_GB2312" w:cs="Times New Roman"/>
          <w:bCs/>
          <w:sz w:val="32"/>
          <w:szCs w:val="32"/>
          <w:lang w:eastAsia="zh-CN"/>
        </w:rPr>
        <w:t>指南建议实行定向征集，主要通过分档限额推荐方式组织。各单位根据自身科研基础、团队优势和方向布局，统筹凝练后择优推荐。具体推荐数量分档执行（重大、重点项目合并计数），原则上分为以下四类：</w:t>
      </w:r>
    </w:p>
    <w:p w14:paraId="12DD0225">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A类单位：推荐总共不超过6项；</w:t>
      </w:r>
    </w:p>
    <w:p w14:paraId="43A80475">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B类单位：推荐总共不超过5项；</w:t>
      </w:r>
    </w:p>
    <w:p w14:paraId="1FBFCD21">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C类单位：推荐总共不超过3项；</w:t>
      </w:r>
    </w:p>
    <w:p w14:paraId="1C2D2F8D">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D类单位：推荐总共不超过1项。</w:t>
      </w:r>
    </w:p>
    <w:p w14:paraId="0C85EF6B">
      <w:pPr>
        <w:spacing w:line="560" w:lineRule="exact"/>
        <w:ind w:firstLine="643" w:firstLineChars="200"/>
        <w:rPr>
          <w:rFonts w:hint="eastAsia" w:ascii="仿宋_GB2312" w:hAnsi="仿宋_GB2312" w:eastAsia="仿宋_GB2312" w:cs="Times New Roman"/>
          <w:b/>
          <w:sz w:val="32"/>
          <w:szCs w:val="32"/>
          <w:lang w:eastAsia="zh-CN"/>
        </w:rPr>
      </w:pPr>
      <w:r>
        <w:rPr>
          <w:rFonts w:hint="eastAsia" w:ascii="仿宋_GB2312" w:hAnsi="仿宋_GB2312" w:eastAsia="仿宋_GB2312" w:cs="Times New Roman"/>
          <w:b/>
          <w:sz w:val="32"/>
          <w:szCs w:val="32"/>
          <w:lang w:eastAsia="zh-CN"/>
        </w:rPr>
        <w:t>限额数量主要依据各单位往年指南命中率确定，请各依托单位科研管理员登录注册邮箱，查阅本单位所属档次与限额。</w:t>
      </w:r>
    </w:p>
    <w:p w14:paraId="093EA262">
      <w:pPr>
        <w:numPr>
          <w:ilvl w:val="0"/>
          <w:numId w:val="4"/>
        </w:num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一般项目指南建议实行公开征集。符合条件的依托单位均可按要求组织提报，一般项目指南数量不限额。</w:t>
      </w:r>
    </w:p>
    <w:p w14:paraId="42E83A28">
      <w:pPr>
        <w:spacing w:line="560" w:lineRule="exact"/>
        <w:ind w:left="648"/>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（四）审核把关</w:t>
      </w:r>
    </w:p>
    <w:p w14:paraId="620BDEFB">
      <w:pPr>
        <w:spacing w:line="560" w:lineRule="exact"/>
        <w:ind w:firstLine="640" w:firstLineChars="200"/>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各推荐单位应加强前端论证和统筹把关，围绕本单位优势方向凝练提出高质量指南建议，避免低水平重复、同质化竞争和碎片化申报。</w:t>
      </w:r>
    </w:p>
    <w:p w14:paraId="7C7623D6">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（五）</w:t>
      </w:r>
      <w:r>
        <w:rPr>
          <w:rFonts w:ascii="仿宋_GB2312" w:hAnsi="仿宋_GB2312" w:eastAsia="仿宋_GB2312" w:cs="Times New Roman"/>
          <w:bCs/>
          <w:sz w:val="32"/>
          <w:szCs w:val="32"/>
          <w:lang w:eastAsia="zh-CN"/>
        </w:rPr>
        <w:t>诚信与合规要求</w:t>
      </w:r>
    </w:p>
    <w:p w14:paraId="5B49D515">
      <w:pPr>
        <w:spacing w:line="560" w:lineRule="exact"/>
        <w:ind w:firstLine="640" w:firstLineChars="200"/>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推荐单位和建议人应对所提指南建议的真实性、科学性和合规性负责。指南建议不得涉及国家秘密，不得违反科研诚信、科技伦理和有关法律法规要求。存在弄虚作假、多头重复报送等情形的，将按有关规定处理。</w:t>
      </w:r>
    </w:p>
    <w:p w14:paraId="3A8068B6">
      <w:pPr>
        <w:numPr>
          <w:ilvl w:val="0"/>
          <w:numId w:val="1"/>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指南征集时间及方式</w:t>
      </w:r>
    </w:p>
    <w:p w14:paraId="6B3DDF0A">
      <w:pPr>
        <w:numPr>
          <w:ilvl w:val="0"/>
          <w:numId w:val="5"/>
        </w:num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本次指南建议征集统一采用线上征集方式，请各提报人登录</w:t>
      </w:r>
      <w:r>
        <w:rPr>
          <w:rFonts w:hint="eastAsia" w:ascii="仿宋_GB2312" w:hAnsi="Times New Roman" w:eastAsia="仿宋_GB2312" w:cs="Times New Roman"/>
          <w:bCs/>
          <w:kern w:val="2"/>
          <w:sz w:val="32"/>
          <w:szCs w:val="28"/>
          <w:lang w:eastAsia="zh-CN"/>
        </w:rPr>
        <w:t>广东省量子科学战略专项系统填写指南建议表（地址：http://119.147.33.27:7901/#/portal）</w:t>
      </w:r>
      <w:r>
        <w:rPr>
          <w:rFonts w:hint="eastAsia" w:ascii="仿宋_GB2312" w:hAnsi="仿宋_GB2312" w:eastAsia="仿宋_GB2312" w:cs="Times New Roman"/>
          <w:bCs/>
          <w:sz w:val="32"/>
          <w:szCs w:val="32"/>
          <w:lang w:eastAsia="zh-CN"/>
        </w:rPr>
        <w:t>，无需提交纸质材料。</w:t>
      </w:r>
    </w:p>
    <w:p w14:paraId="3FA26311">
      <w:pPr>
        <w:numPr>
          <w:ilvl w:val="0"/>
          <w:numId w:val="5"/>
        </w:numPr>
        <w:spacing w:line="560" w:lineRule="exact"/>
        <w:ind w:firstLine="640" w:firstLineChars="200"/>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根据建议项目的资助强度、战略定位与组织复杂度，本次指南建议征集实行分级填报：</w:t>
      </w:r>
    </w:p>
    <w:p w14:paraId="53BF545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1、</w:t>
      </w:r>
      <w:r>
        <w:rPr>
          <w:rFonts w:ascii="仿宋_GB2312" w:hAnsi="仿宋_GB2312" w:eastAsia="仿宋_GB2312" w:cs="Times New Roman"/>
          <w:bCs/>
          <w:sz w:val="32"/>
          <w:szCs w:val="32"/>
          <w:lang w:eastAsia="zh-CN"/>
        </w:rPr>
        <w:t>重点与重大项目</w:t>
      </w:r>
      <w:r>
        <w:rPr>
          <w:rFonts w:hint="eastAsia" w:ascii="仿宋_GB2312" w:hAnsi="仿宋_GB2312" w:eastAsia="仿宋_GB2312" w:cs="Times New Roman"/>
          <w:bCs/>
          <w:sz w:val="32"/>
          <w:szCs w:val="32"/>
          <w:lang w:eastAsia="zh-CN"/>
        </w:rPr>
        <w:t>：指南建议人</w:t>
      </w:r>
      <w:r>
        <w:rPr>
          <w:rFonts w:ascii="仿宋_GB2312" w:hAnsi="仿宋_GB2312" w:eastAsia="仿宋_GB2312" w:cs="Times New Roman"/>
          <w:bCs/>
          <w:sz w:val="32"/>
          <w:szCs w:val="32"/>
          <w:lang w:eastAsia="zh-CN"/>
        </w:rPr>
        <w:t>登录广东省量子科学战略专项系统，填写《项目建议表》，</w:t>
      </w:r>
      <w:r>
        <w:rPr>
          <w:rFonts w:hint="eastAsia" w:ascii="仿宋_GB2312" w:hAnsi="仿宋_GB2312" w:eastAsia="仿宋_GB2312" w:cs="Times New Roman"/>
          <w:bCs/>
          <w:sz w:val="32"/>
          <w:szCs w:val="32"/>
          <w:lang w:eastAsia="zh-CN"/>
        </w:rPr>
        <w:t>并</w:t>
      </w:r>
      <w:r>
        <w:rPr>
          <w:rFonts w:ascii="仿宋_GB2312" w:hAnsi="仿宋_GB2312" w:eastAsia="仿宋_GB2312" w:cs="Times New Roman"/>
          <w:bCs/>
          <w:sz w:val="32"/>
          <w:szCs w:val="32"/>
          <w:lang w:eastAsia="zh-CN"/>
        </w:rPr>
        <w:t>上传《项目</w:t>
      </w:r>
      <w:r>
        <w:rPr>
          <w:rFonts w:hint="eastAsia" w:ascii="仿宋_GB2312" w:hAnsi="仿宋_GB2312" w:eastAsia="仿宋_GB2312" w:cs="Times New Roman"/>
          <w:bCs/>
          <w:sz w:val="32"/>
          <w:szCs w:val="32"/>
          <w:lang w:eastAsia="zh-CN"/>
        </w:rPr>
        <w:t>指南</w:t>
      </w:r>
      <w:r>
        <w:rPr>
          <w:rFonts w:ascii="仿宋_GB2312" w:hAnsi="仿宋_GB2312" w:eastAsia="仿宋_GB2312" w:cs="Times New Roman"/>
          <w:bCs/>
          <w:sz w:val="32"/>
          <w:szCs w:val="32"/>
          <w:lang w:eastAsia="zh-CN"/>
        </w:rPr>
        <w:t>建议报告》（</w:t>
      </w:r>
      <w:r>
        <w:rPr>
          <w:rFonts w:hint="eastAsia" w:ascii="仿宋_GB2312" w:hAnsi="仿宋_GB2312" w:eastAsia="仿宋_GB2312" w:cs="Times New Roman"/>
          <w:bCs/>
          <w:sz w:val="32"/>
          <w:szCs w:val="32"/>
          <w:lang w:eastAsia="zh-CN"/>
        </w:rPr>
        <w:t>模板见附件</w:t>
      </w:r>
      <w:r>
        <w:rPr>
          <w:rFonts w:ascii="仿宋_GB2312" w:hAnsi="仿宋_GB2312" w:eastAsia="仿宋_GB2312" w:cs="Times New Roman"/>
          <w:bCs/>
          <w:sz w:val="32"/>
          <w:szCs w:val="32"/>
          <w:lang w:eastAsia="zh-CN"/>
        </w:rPr>
        <w:t>）。</w:t>
      </w:r>
    </w:p>
    <w:p w14:paraId="6E12C320">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2、</w:t>
      </w:r>
      <w:r>
        <w:rPr>
          <w:rFonts w:ascii="仿宋_GB2312" w:hAnsi="仿宋_GB2312" w:eastAsia="仿宋_GB2312" w:cs="Times New Roman"/>
          <w:bCs/>
          <w:sz w:val="32"/>
          <w:szCs w:val="32"/>
          <w:lang w:eastAsia="zh-CN"/>
        </w:rPr>
        <w:t>一般项目</w:t>
      </w:r>
      <w:r>
        <w:rPr>
          <w:rFonts w:hint="eastAsia" w:ascii="仿宋_GB2312" w:hAnsi="仿宋_GB2312" w:eastAsia="仿宋_GB2312" w:cs="Times New Roman"/>
          <w:bCs/>
          <w:sz w:val="32"/>
          <w:szCs w:val="32"/>
          <w:lang w:eastAsia="zh-CN"/>
        </w:rPr>
        <w:t>：指南</w:t>
      </w:r>
      <w:r>
        <w:rPr>
          <w:rFonts w:ascii="仿宋_GB2312" w:hAnsi="仿宋_GB2312" w:eastAsia="仿宋_GB2312" w:cs="Times New Roman"/>
          <w:bCs/>
          <w:sz w:val="32"/>
          <w:szCs w:val="32"/>
          <w:lang w:eastAsia="zh-CN"/>
        </w:rPr>
        <w:t>建议人登录广东省量子科学战略专项系统，在线填写《项目</w:t>
      </w:r>
      <w:r>
        <w:rPr>
          <w:rFonts w:hint="eastAsia" w:ascii="仿宋_GB2312" w:hAnsi="仿宋_GB2312" w:eastAsia="仿宋_GB2312" w:cs="Times New Roman"/>
          <w:bCs/>
          <w:sz w:val="32"/>
          <w:szCs w:val="32"/>
          <w:lang w:eastAsia="zh-CN"/>
        </w:rPr>
        <w:t>指南</w:t>
      </w:r>
      <w:r>
        <w:rPr>
          <w:rFonts w:ascii="仿宋_GB2312" w:hAnsi="仿宋_GB2312" w:eastAsia="仿宋_GB2312" w:cs="Times New Roman"/>
          <w:bCs/>
          <w:sz w:val="32"/>
          <w:szCs w:val="32"/>
          <w:lang w:eastAsia="zh-CN"/>
        </w:rPr>
        <w:t>建议表》即可，无需上传附件。</w:t>
      </w:r>
    </w:p>
    <w:p w14:paraId="60D48DB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3、请各单位在限额数量内把关遴选并推荐重大及重点项目指南建议，同时组织好一般项目指南建议的提报。</w:t>
      </w:r>
    </w:p>
    <w:p w14:paraId="554CD53B">
      <w:pPr>
        <w:spacing w:line="560" w:lineRule="exact"/>
        <w:ind w:firstLine="640" w:firstLineChars="200"/>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指南建议原则上以中文填写，必要的专业术语可附注英文。</w:t>
      </w:r>
    </w:p>
    <w:p w14:paraId="7F9D2407">
      <w:pPr>
        <w:numPr>
          <w:ilvl w:val="0"/>
          <w:numId w:val="5"/>
        </w:numPr>
        <w:spacing w:line="560" w:lineRule="exact"/>
        <w:ind w:firstLine="640" w:firstLineChars="200"/>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本次指南建议征集线上报送时间为</w:t>
      </w:r>
      <w:r>
        <w:rPr>
          <w:rFonts w:hint="eastAsia" w:ascii="仿宋_GB2312" w:hAnsi="仿宋_GB2312" w:eastAsia="仿宋_GB2312" w:cs="Times New Roman"/>
          <w:bCs/>
          <w:sz w:val="32"/>
          <w:szCs w:val="32"/>
          <w:lang w:eastAsia="zh-CN"/>
        </w:rPr>
        <w:t>2026年5月20日0:00 - 2026年6月8日 18:00，</w:t>
      </w:r>
      <w:r>
        <w:rPr>
          <w:rFonts w:ascii="仿宋_GB2312" w:hAnsi="仿宋_GB2312" w:eastAsia="仿宋_GB2312" w:cs="Times New Roman"/>
          <w:bCs/>
          <w:sz w:val="32"/>
          <w:szCs w:val="32"/>
          <w:lang w:eastAsia="zh-CN"/>
        </w:rPr>
        <w:t>逾期提交的，不予受理。</w:t>
      </w:r>
    </w:p>
    <w:p w14:paraId="4A7C1A73">
      <w:pPr>
        <w:spacing w:line="560" w:lineRule="exact"/>
        <w:ind w:firstLine="648"/>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各单位高度重视，抓紧组织遴选并认真审核报送。</w:t>
      </w:r>
    </w:p>
    <w:p w14:paraId="6FE066E4">
      <w:pPr>
        <w:spacing w:line="560" w:lineRule="exact"/>
        <w:rPr>
          <w:rFonts w:hint="eastAsia" w:ascii="仿宋_GB2312" w:hAnsi="仿宋_GB2312" w:eastAsia="仿宋_GB2312" w:cs="Times New Roman"/>
          <w:bCs/>
          <w:sz w:val="32"/>
          <w:szCs w:val="32"/>
          <w:lang w:eastAsia="zh-CN"/>
        </w:rPr>
      </w:pPr>
    </w:p>
    <w:p w14:paraId="0ED83031">
      <w:pPr>
        <w:spacing w:line="560" w:lineRule="exact"/>
        <w:ind w:firstLine="640"/>
        <w:rPr>
          <w:rFonts w:hint="eastAsia" w:ascii="仿宋_GB2312" w:hAnsi="仿宋_GB2312" w:eastAsia="仿宋_GB2312" w:cs="Times New Roman"/>
          <w:bCs/>
          <w:sz w:val="32"/>
          <w:szCs w:val="32"/>
          <w:lang w:eastAsia="zh-CN"/>
        </w:rPr>
      </w:pPr>
    </w:p>
    <w:p w14:paraId="16BD88EB">
      <w:pPr>
        <w:spacing w:line="560" w:lineRule="exact"/>
        <w:ind w:firstLine="640"/>
        <w:jc w:val="right"/>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广东省量子科学战略专项管理办公室</w:t>
      </w:r>
    </w:p>
    <w:p w14:paraId="003A4CEF">
      <w:pPr>
        <w:spacing w:line="560" w:lineRule="exact"/>
        <w:ind w:firstLine="640"/>
        <w:jc w:val="right"/>
        <w:rPr>
          <w:rFonts w:hint="eastAsia" w:ascii="仿宋_GB2312" w:hAnsi="仿宋_GB2312" w:eastAsia="仿宋_GB2312" w:cs="Times New Roman"/>
          <w:bCs/>
          <w:sz w:val="32"/>
          <w:szCs w:val="32"/>
          <w:lang w:eastAsia="zh-CN"/>
        </w:rPr>
      </w:pPr>
      <w:r>
        <w:rPr>
          <w:rFonts w:ascii="仿宋_GB2312" w:hAnsi="仿宋_GB2312" w:eastAsia="仿宋_GB2312" w:cs="Times New Roman"/>
          <w:bCs/>
          <w:sz w:val="32"/>
          <w:szCs w:val="32"/>
          <w:lang w:eastAsia="zh-CN"/>
        </w:rPr>
        <w:t>202</w:t>
      </w:r>
      <w:r>
        <w:rPr>
          <w:rFonts w:hint="eastAsia" w:ascii="仿宋_GB2312" w:hAnsi="仿宋_GB2312" w:eastAsia="仿宋_GB2312" w:cs="Times New Roman"/>
          <w:bCs/>
          <w:sz w:val="32"/>
          <w:szCs w:val="32"/>
          <w:lang w:eastAsia="zh-CN"/>
        </w:rPr>
        <w:t>6</w:t>
      </w:r>
      <w:r>
        <w:rPr>
          <w:rFonts w:ascii="仿宋_GB2312" w:hAnsi="仿宋_GB2312" w:eastAsia="仿宋_GB2312" w:cs="Times New Roman"/>
          <w:bCs/>
          <w:sz w:val="32"/>
          <w:szCs w:val="32"/>
          <w:lang w:eastAsia="zh-CN"/>
        </w:rPr>
        <w:t>年</w:t>
      </w:r>
      <w:r>
        <w:rPr>
          <w:rFonts w:hint="eastAsia" w:ascii="仿宋_GB2312" w:hAnsi="仿宋_GB2312" w:eastAsia="仿宋_GB2312" w:cs="Times New Roman"/>
          <w:bCs/>
          <w:sz w:val="32"/>
          <w:szCs w:val="32"/>
          <w:lang w:eastAsia="zh-CN"/>
        </w:rPr>
        <w:t>5</w:t>
      </w:r>
      <w:r>
        <w:rPr>
          <w:rFonts w:ascii="仿宋_GB2312" w:hAnsi="仿宋_GB2312" w:eastAsia="仿宋_GB2312" w:cs="Times New Roman"/>
          <w:bCs/>
          <w:sz w:val="32"/>
          <w:szCs w:val="32"/>
          <w:lang w:eastAsia="zh-CN"/>
        </w:rPr>
        <w:t>月</w:t>
      </w:r>
      <w:r>
        <w:rPr>
          <w:rFonts w:hint="eastAsia" w:ascii="仿宋_GB2312" w:hAnsi="仿宋_GB2312" w:eastAsia="仿宋_GB2312" w:cs="Times New Roman"/>
          <w:bCs/>
          <w:sz w:val="32"/>
          <w:szCs w:val="32"/>
          <w:lang w:val="en-US" w:eastAsia="zh-CN"/>
        </w:rPr>
        <w:t>20</w:t>
      </w:r>
      <w:r>
        <w:rPr>
          <w:rFonts w:ascii="仿宋_GB2312" w:hAnsi="仿宋_GB2312" w:eastAsia="仿宋_GB2312" w:cs="Times New Roman"/>
          <w:bCs/>
          <w:sz w:val="32"/>
          <w:szCs w:val="32"/>
          <w:lang w:eastAsia="zh-CN"/>
        </w:rPr>
        <w:t>日</w:t>
      </w:r>
    </w:p>
    <w:p w14:paraId="57A60AB8">
      <w:pPr>
        <w:spacing w:line="560" w:lineRule="exact"/>
        <w:ind w:firstLine="648"/>
        <w:rPr>
          <w:rFonts w:hint="eastAsia" w:ascii="仿宋_GB2312" w:hAnsi="仿宋_GB2312" w:eastAsia="仿宋_GB2312" w:cs="Times New Roman"/>
          <w:bCs/>
          <w:sz w:val="32"/>
          <w:szCs w:val="32"/>
          <w:lang w:eastAsia="zh-CN"/>
        </w:rPr>
        <w:sectPr>
          <w:pgSz w:w="11906" w:h="16838"/>
          <w:pgMar w:top="1440" w:right="1800" w:bottom="1440" w:left="1800" w:header="851" w:footer="992" w:gutter="0"/>
          <w:cols w:space="425" w:num="1"/>
          <w:docGrid w:type="lines" w:linePitch="312" w:charSpace="0"/>
        </w:sectPr>
      </w:pPr>
    </w:p>
    <w:p w14:paraId="17F620E5">
      <w:pPr>
        <w:spacing w:line="560" w:lineRule="exact"/>
        <w:rPr>
          <w:rFonts w:hint="eastAsia" w:ascii="黑体" w:hAnsi="黑体" w:eastAsia="黑体" w:cs="黑体"/>
          <w:bCs/>
          <w:sz w:val="32"/>
          <w:szCs w:val="32"/>
          <w:lang w:eastAsia="zh-CN"/>
        </w:rPr>
      </w:pPr>
      <w:r>
        <w:rPr>
          <w:rFonts w:hint="eastAsia" w:ascii="黑体" w:hAnsi="黑体" w:eastAsia="黑体" w:cs="黑体"/>
          <w:bCs/>
          <w:sz w:val="32"/>
          <w:szCs w:val="32"/>
          <w:lang w:eastAsia="zh-CN"/>
        </w:rPr>
        <w:t xml:space="preserve">附件 </w:t>
      </w:r>
    </w:p>
    <w:p w14:paraId="5858B034">
      <w:pPr>
        <w:pStyle w:val="12"/>
        <w:adjustRightInd w:val="0"/>
        <w:snapToGrid w:val="0"/>
        <w:jc w:val="center"/>
        <w:rPr>
          <w:rFonts w:eastAsia="黑体"/>
          <w:sz w:val="36"/>
          <w:szCs w:val="36"/>
          <w:lang w:eastAsia="zh-CN"/>
        </w:rPr>
      </w:pPr>
      <w:r>
        <w:rPr>
          <w:rFonts w:hint="eastAsia" w:eastAsia="黑体"/>
          <w:sz w:val="36"/>
          <w:szCs w:val="36"/>
          <w:lang w:eastAsia="zh-CN"/>
        </w:rPr>
        <w:t>2027年度广东省量子科学战略专项项目</w:t>
      </w:r>
    </w:p>
    <w:p w14:paraId="5D6CB1E0">
      <w:pPr>
        <w:pStyle w:val="12"/>
        <w:adjustRightInd w:val="0"/>
        <w:snapToGrid w:val="0"/>
        <w:jc w:val="center"/>
        <w:rPr>
          <w:rFonts w:eastAsia="黑体"/>
          <w:color w:val="000000"/>
          <w:sz w:val="36"/>
          <w:szCs w:val="36"/>
        </w:rPr>
      </w:pPr>
      <w:r>
        <w:rPr>
          <w:rFonts w:hint="eastAsia" w:eastAsia="黑体"/>
          <w:sz w:val="36"/>
          <w:szCs w:val="36"/>
          <w:lang w:eastAsia="zh-CN"/>
        </w:rPr>
        <w:t>指南</w:t>
      </w:r>
      <w:r>
        <w:rPr>
          <w:rFonts w:hint="eastAsia" w:eastAsia="黑体"/>
          <w:sz w:val="36"/>
          <w:szCs w:val="36"/>
        </w:rPr>
        <w:t>建议表</w:t>
      </w:r>
    </w:p>
    <w:tbl>
      <w:tblPr>
        <w:tblStyle w:val="7"/>
        <w:tblpPr w:leftFromText="180" w:rightFromText="180" w:vertAnchor="text" w:horzAnchor="margin" w:tblpXSpec="center" w:tblpY="158"/>
        <w:tblW w:w="9600" w:type="dxa"/>
        <w:tblInd w:w="0" w:type="dxa"/>
        <w:tblLayout w:type="fixed"/>
        <w:tblCellMar>
          <w:top w:w="0" w:type="dxa"/>
          <w:left w:w="108" w:type="dxa"/>
          <w:bottom w:w="0" w:type="dxa"/>
          <w:right w:w="108" w:type="dxa"/>
        </w:tblCellMar>
      </w:tblPr>
      <w:tblGrid>
        <w:gridCol w:w="2136"/>
        <w:gridCol w:w="7464"/>
      </w:tblGrid>
      <w:tr w14:paraId="5A951A21">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2DF0C94D">
            <w:pPr>
              <w:jc w:val="center"/>
              <w:rPr>
                <w:rFonts w:ascii="Times New Roman" w:hAnsi="Times New Roman" w:cs="Times New Roman"/>
                <w:b/>
                <w:sz w:val="24"/>
              </w:rPr>
            </w:pPr>
            <w:r>
              <w:rPr>
                <w:rFonts w:hint="eastAsia" w:ascii="Times New Roman" w:hAnsi="Times New Roman" w:cs="Times New Roman"/>
                <w:b/>
                <w:sz w:val="24"/>
              </w:rPr>
              <w:t>建议名称</w:t>
            </w:r>
          </w:p>
        </w:tc>
        <w:tc>
          <w:tcPr>
            <w:tcW w:w="7464" w:type="dxa"/>
            <w:tcBorders>
              <w:top w:val="single" w:color="auto" w:sz="4" w:space="0"/>
              <w:left w:val="nil"/>
              <w:bottom w:val="single" w:color="auto" w:sz="4" w:space="0"/>
              <w:right w:val="single" w:color="auto" w:sz="4" w:space="0"/>
            </w:tcBorders>
            <w:vAlign w:val="center"/>
          </w:tcPr>
          <w:p w14:paraId="09674A2B">
            <w:pPr>
              <w:rPr>
                <w:rFonts w:ascii="Times New Roman" w:hAnsi="Times New Roman" w:cs="Times New Roman"/>
                <w:sz w:val="22"/>
                <w:lang w:eastAsia="zh-CN"/>
              </w:rPr>
            </w:pPr>
            <w:r>
              <w:rPr>
                <w:rFonts w:hint="eastAsia" w:ascii="Times New Roman" w:hAnsi="Times New Roman" w:cs="Times New Roman"/>
                <w:sz w:val="22"/>
                <w:lang w:eastAsia="zh-CN"/>
              </w:rPr>
              <w:t>简明凝练，体现科学问题或技术目标，不超过30字</w:t>
            </w:r>
          </w:p>
        </w:tc>
      </w:tr>
      <w:tr w14:paraId="53F47A97">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25183AE8">
            <w:pPr>
              <w:jc w:val="center"/>
              <w:rPr>
                <w:rFonts w:ascii="Times New Roman" w:hAnsi="Times New Roman" w:cs="Times New Roman"/>
                <w:b/>
                <w:sz w:val="24"/>
              </w:rPr>
            </w:pPr>
            <w:bookmarkStart w:id="0" w:name="OLE_LINK2"/>
            <w:r>
              <w:rPr>
                <w:rFonts w:ascii="Times New Roman" w:hAnsi="Times New Roman" w:cs="Times New Roman"/>
                <w:b/>
                <w:sz w:val="24"/>
              </w:rPr>
              <w:t>指南建议</w:t>
            </w:r>
            <w:r>
              <w:rPr>
                <w:rFonts w:hint="eastAsia" w:ascii="Times New Roman" w:hAnsi="Times New Roman" w:cs="Times New Roman"/>
                <w:b/>
                <w:sz w:val="24"/>
              </w:rPr>
              <w:t>人姓名</w:t>
            </w:r>
            <w:bookmarkEnd w:id="0"/>
          </w:p>
        </w:tc>
        <w:tc>
          <w:tcPr>
            <w:tcW w:w="7464" w:type="dxa"/>
            <w:tcBorders>
              <w:top w:val="single" w:color="auto" w:sz="4" w:space="0"/>
              <w:left w:val="nil"/>
              <w:bottom w:val="single" w:color="auto" w:sz="4" w:space="0"/>
              <w:right w:val="single" w:color="auto" w:sz="4" w:space="0"/>
            </w:tcBorders>
            <w:vAlign w:val="center"/>
          </w:tcPr>
          <w:p w14:paraId="2D98A4BC">
            <w:pPr>
              <w:rPr>
                <w:rFonts w:ascii="Times New Roman" w:hAnsi="Times New Roman" w:cs="Times New Roman"/>
                <w:sz w:val="22"/>
                <w:lang w:eastAsia="zh-CN"/>
              </w:rPr>
            </w:pPr>
            <w:r>
              <w:rPr>
                <w:rFonts w:hint="eastAsia" w:ascii="Times New Roman" w:hAnsi="Times New Roman" w:cs="Times New Roman"/>
                <w:sz w:val="22"/>
                <w:lang w:eastAsia="zh-CN"/>
              </w:rPr>
              <w:t>第一建议人</w:t>
            </w:r>
          </w:p>
        </w:tc>
      </w:tr>
      <w:tr w14:paraId="4C680BED">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650FD8D5">
            <w:pPr>
              <w:jc w:val="center"/>
              <w:rPr>
                <w:rFonts w:ascii="Times New Roman" w:hAnsi="Times New Roman" w:cs="Times New Roman"/>
                <w:b/>
                <w:sz w:val="24"/>
              </w:rPr>
            </w:pPr>
            <w:r>
              <w:rPr>
                <w:rFonts w:ascii="Times New Roman" w:hAnsi="Times New Roman" w:cs="Times New Roman"/>
                <w:b/>
                <w:sz w:val="24"/>
              </w:rPr>
              <w:t>指南建议</w:t>
            </w:r>
            <w:r>
              <w:rPr>
                <w:rFonts w:hint="eastAsia" w:ascii="Times New Roman" w:hAnsi="Times New Roman" w:cs="Times New Roman"/>
                <w:b/>
                <w:sz w:val="24"/>
              </w:rPr>
              <w:t>人</w:t>
            </w:r>
          </w:p>
          <w:p w14:paraId="2BFE4563">
            <w:pPr>
              <w:jc w:val="center"/>
              <w:rPr>
                <w:rFonts w:ascii="Times New Roman" w:hAnsi="Times New Roman" w:cs="Times New Roman"/>
                <w:b/>
                <w:sz w:val="24"/>
                <w:lang w:eastAsia="zh-CN"/>
              </w:rPr>
            </w:pPr>
            <w:r>
              <w:rPr>
                <w:rFonts w:hint="eastAsia" w:ascii="Times New Roman" w:hAnsi="Times New Roman" w:cs="Times New Roman"/>
                <w:b/>
                <w:sz w:val="24"/>
              </w:rPr>
              <w:t>所在</w:t>
            </w:r>
            <w:r>
              <w:rPr>
                <w:rFonts w:ascii="Times New Roman" w:hAnsi="Times New Roman" w:cs="Times New Roman"/>
                <w:b/>
                <w:sz w:val="24"/>
              </w:rPr>
              <w:t>单位</w:t>
            </w:r>
          </w:p>
        </w:tc>
        <w:tc>
          <w:tcPr>
            <w:tcW w:w="7464" w:type="dxa"/>
            <w:tcBorders>
              <w:top w:val="single" w:color="auto" w:sz="4" w:space="0"/>
              <w:left w:val="nil"/>
              <w:bottom w:val="single" w:color="auto" w:sz="4" w:space="0"/>
              <w:right w:val="single" w:color="auto" w:sz="4" w:space="0"/>
            </w:tcBorders>
            <w:vAlign w:val="center"/>
          </w:tcPr>
          <w:p w14:paraId="54B8B0EB">
            <w:pPr>
              <w:rPr>
                <w:rFonts w:ascii="Times New Roman" w:hAnsi="Times New Roman" w:cs="Times New Roman"/>
                <w:sz w:val="22"/>
                <w:lang w:eastAsia="zh-CN"/>
              </w:rPr>
            </w:pPr>
            <w:r>
              <w:rPr>
                <w:rFonts w:hint="eastAsia" w:ascii="Times New Roman" w:hAnsi="Times New Roman" w:cs="Times New Roman"/>
                <w:sz w:val="22"/>
                <w:lang w:eastAsia="zh-CN"/>
              </w:rPr>
              <w:t>系统带出（须为专项依托单位）</w:t>
            </w:r>
          </w:p>
        </w:tc>
      </w:tr>
      <w:tr w14:paraId="744A3EA6">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4E9E53CB">
            <w:pPr>
              <w:jc w:val="center"/>
              <w:rPr>
                <w:rFonts w:ascii="Times New Roman" w:hAnsi="Times New Roman" w:cs="Times New Roman"/>
                <w:b/>
                <w:sz w:val="24"/>
                <w:lang w:eastAsia="zh-CN"/>
              </w:rPr>
            </w:pPr>
            <w:r>
              <w:rPr>
                <w:rFonts w:hint="eastAsia" w:ascii="Times New Roman" w:hAnsi="Times New Roman" w:cs="Times New Roman"/>
                <w:b/>
                <w:sz w:val="24"/>
                <w:lang w:eastAsia="zh-CN"/>
              </w:rPr>
              <w:t>职称</w:t>
            </w:r>
          </w:p>
        </w:tc>
        <w:tc>
          <w:tcPr>
            <w:tcW w:w="7464" w:type="dxa"/>
            <w:tcBorders>
              <w:top w:val="single" w:color="auto" w:sz="4" w:space="0"/>
              <w:left w:val="nil"/>
              <w:bottom w:val="single" w:color="auto" w:sz="4" w:space="0"/>
              <w:right w:val="single" w:color="auto" w:sz="4" w:space="0"/>
            </w:tcBorders>
            <w:vAlign w:val="center"/>
          </w:tcPr>
          <w:p w14:paraId="2B0184A4">
            <w:pPr>
              <w:rPr>
                <w:rFonts w:ascii="Times New Roman" w:hAnsi="Times New Roman" w:cs="Times New Roman"/>
                <w:sz w:val="22"/>
                <w:lang w:eastAsia="zh-CN"/>
              </w:rPr>
            </w:pPr>
            <w:r>
              <w:rPr>
                <w:rFonts w:hint="eastAsia" w:ascii="Times New Roman" w:hAnsi="Times New Roman" w:cs="Times New Roman"/>
                <w:sz w:val="22"/>
                <w:lang w:eastAsia="zh-CN"/>
              </w:rPr>
              <w:t xml:space="preserve">系统带出 </w:t>
            </w:r>
          </w:p>
        </w:tc>
      </w:tr>
      <w:tr w14:paraId="0CA21C5A">
        <w:tblPrEx>
          <w:tblCellMar>
            <w:top w:w="0" w:type="dxa"/>
            <w:left w:w="108" w:type="dxa"/>
            <w:bottom w:w="0" w:type="dxa"/>
            <w:right w:w="108" w:type="dxa"/>
          </w:tblCellMar>
        </w:tblPrEx>
        <w:trPr>
          <w:trHeight w:val="557" w:hRule="atLeast"/>
        </w:trPr>
        <w:tc>
          <w:tcPr>
            <w:tcW w:w="2136" w:type="dxa"/>
            <w:tcBorders>
              <w:top w:val="single" w:color="auto" w:sz="4" w:space="0"/>
              <w:left w:val="single" w:color="auto" w:sz="4" w:space="0"/>
              <w:bottom w:val="single" w:color="auto" w:sz="4" w:space="0"/>
              <w:right w:val="single" w:color="auto" w:sz="4" w:space="0"/>
            </w:tcBorders>
            <w:vAlign w:val="center"/>
          </w:tcPr>
          <w:p w14:paraId="5F52538C">
            <w:pPr>
              <w:jc w:val="center"/>
              <w:rPr>
                <w:rFonts w:ascii="Times New Roman" w:hAnsi="Times New Roman" w:cs="Times New Roman"/>
                <w:b/>
                <w:sz w:val="24"/>
                <w:lang w:eastAsia="zh-CN"/>
              </w:rPr>
            </w:pPr>
            <w:r>
              <w:rPr>
                <w:rFonts w:hint="eastAsia" w:ascii="Times New Roman" w:hAnsi="Times New Roman" w:cs="Times New Roman"/>
                <w:b/>
                <w:sz w:val="24"/>
                <w:lang w:eastAsia="zh-CN"/>
              </w:rPr>
              <w:t>指南类型</w:t>
            </w:r>
          </w:p>
        </w:tc>
        <w:tc>
          <w:tcPr>
            <w:tcW w:w="7464" w:type="dxa"/>
            <w:tcBorders>
              <w:top w:val="single" w:color="auto" w:sz="4" w:space="0"/>
              <w:left w:val="nil"/>
              <w:bottom w:val="single" w:color="auto" w:sz="4" w:space="0"/>
              <w:right w:val="single" w:color="auto" w:sz="4" w:space="0"/>
            </w:tcBorders>
            <w:vAlign w:val="center"/>
          </w:tcPr>
          <w:p w14:paraId="745C1BC4">
            <w:pPr>
              <w:rPr>
                <w:rFonts w:ascii="Times New Roman" w:hAnsi="Times New Roman" w:cs="Times New Roman" w:eastAsiaTheme="minorEastAsia"/>
                <w:sz w:val="20"/>
                <w:lang w:eastAsia="zh-CN"/>
              </w:rPr>
            </w:pPr>
            <w:r>
              <w:rPr>
                <w:rFonts w:hint="eastAsia" w:ascii="Times New Roman" w:hAnsi="Times New Roman" w:cs="Times New Roman"/>
                <w:sz w:val="22"/>
                <w:lang w:eastAsia="zh-CN"/>
              </w:rPr>
              <w:t>□重大项目</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□重点项目   □一般项目</w:t>
            </w:r>
          </w:p>
        </w:tc>
      </w:tr>
      <w:tr w14:paraId="2B06B68C">
        <w:tblPrEx>
          <w:tblCellMar>
            <w:top w:w="0" w:type="dxa"/>
            <w:left w:w="108" w:type="dxa"/>
            <w:bottom w:w="0" w:type="dxa"/>
            <w:right w:w="108" w:type="dxa"/>
          </w:tblCellMar>
        </w:tblPrEx>
        <w:trPr>
          <w:trHeight w:val="554" w:hRule="atLeast"/>
        </w:trPr>
        <w:tc>
          <w:tcPr>
            <w:tcW w:w="2136" w:type="dxa"/>
            <w:tcBorders>
              <w:top w:val="single" w:color="auto" w:sz="4" w:space="0"/>
              <w:left w:val="single" w:color="auto" w:sz="4" w:space="0"/>
              <w:bottom w:val="single" w:color="auto" w:sz="4" w:space="0"/>
              <w:right w:val="single" w:color="auto" w:sz="4" w:space="0"/>
            </w:tcBorders>
            <w:vAlign w:val="center"/>
          </w:tcPr>
          <w:p w14:paraId="42265CC5">
            <w:pPr>
              <w:jc w:val="center"/>
              <w:rPr>
                <w:rFonts w:ascii="Times New Roman" w:hAnsi="Times New Roman" w:cs="Times New Roman"/>
                <w:b/>
                <w:sz w:val="24"/>
              </w:rPr>
            </w:pPr>
            <w:r>
              <w:rPr>
                <w:rFonts w:hint="eastAsia" w:ascii="Times New Roman" w:hAnsi="Times New Roman" w:cs="Times New Roman"/>
                <w:b/>
                <w:sz w:val="24"/>
              </w:rPr>
              <w:t>所属领域</w:t>
            </w:r>
          </w:p>
        </w:tc>
        <w:tc>
          <w:tcPr>
            <w:tcW w:w="7464" w:type="dxa"/>
            <w:tcBorders>
              <w:top w:val="single" w:color="auto" w:sz="4" w:space="0"/>
              <w:left w:val="nil"/>
              <w:bottom w:val="single" w:color="auto" w:sz="4" w:space="0"/>
              <w:right w:val="single" w:color="auto" w:sz="4" w:space="0"/>
            </w:tcBorders>
            <w:vAlign w:val="center"/>
          </w:tcPr>
          <w:p w14:paraId="54C1D49F">
            <w:pPr>
              <w:rPr>
                <w:rFonts w:ascii="Times New Roman" w:hAnsi="Times New Roman" w:cs="Times New Roman" w:eastAsiaTheme="minorEastAsia"/>
                <w:sz w:val="22"/>
                <w:lang w:eastAsia="zh-CN"/>
              </w:rPr>
            </w:pPr>
            <w:r>
              <w:rPr>
                <w:rFonts w:hint="eastAsia" w:ascii="Times New Roman" w:hAnsi="Times New Roman" w:cs="Times New Roman"/>
                <w:sz w:val="22"/>
                <w:lang w:eastAsia="zh-CN"/>
              </w:rPr>
              <w:t>□量子物态</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□量子计算</w:t>
            </w:r>
            <w:r>
              <w:rPr>
                <w:rFonts w:ascii="Times New Roman" w:hAnsi="Times New Roman" w:cs="Times New Roman"/>
                <w:sz w:val="22"/>
                <w:lang w:eastAsia="zh-CN"/>
              </w:rPr>
              <w:t xml:space="preserve">    </w:t>
            </w:r>
            <w:r>
              <w:rPr>
                <w:rFonts w:hint="eastAsia" w:ascii="Times New Roman" w:hAnsi="Times New Roman" w:cs="Times New Roman"/>
                <w:sz w:val="22"/>
                <w:lang w:eastAsia="zh-CN"/>
              </w:rPr>
              <w:t>□量子精密测量   □其他领域</w:t>
            </w:r>
          </w:p>
        </w:tc>
      </w:tr>
      <w:tr w14:paraId="17F7C9C8">
        <w:tblPrEx>
          <w:tblCellMar>
            <w:top w:w="0" w:type="dxa"/>
            <w:left w:w="108" w:type="dxa"/>
            <w:bottom w:w="0" w:type="dxa"/>
            <w:right w:w="108" w:type="dxa"/>
          </w:tblCellMar>
        </w:tblPrEx>
        <w:trPr>
          <w:trHeight w:val="2205" w:hRule="atLeast"/>
        </w:trPr>
        <w:tc>
          <w:tcPr>
            <w:tcW w:w="2136" w:type="dxa"/>
            <w:tcBorders>
              <w:top w:val="single" w:color="auto" w:sz="4" w:space="0"/>
              <w:left w:val="single" w:color="auto" w:sz="4" w:space="0"/>
              <w:bottom w:val="single" w:color="auto" w:sz="4" w:space="0"/>
              <w:right w:val="single" w:color="auto" w:sz="4" w:space="0"/>
            </w:tcBorders>
            <w:vAlign w:val="center"/>
          </w:tcPr>
          <w:p w14:paraId="3B95EA15">
            <w:pPr>
              <w:jc w:val="center"/>
              <w:rPr>
                <w:rFonts w:ascii="Times New Roman" w:hAnsi="Times New Roman" w:cs="Times New Roman"/>
                <w:b/>
                <w:sz w:val="24"/>
                <w:lang w:eastAsia="zh-CN"/>
              </w:rPr>
            </w:pPr>
            <w:r>
              <w:rPr>
                <w:rFonts w:hint="eastAsia" w:ascii="Times New Roman" w:hAnsi="Times New Roman" w:cs="Times New Roman"/>
                <w:b/>
                <w:sz w:val="24"/>
                <w:lang w:eastAsia="zh-CN"/>
              </w:rPr>
              <w:t>研究内容</w:t>
            </w:r>
          </w:p>
          <w:p w14:paraId="0141FD93">
            <w:pPr>
              <w:jc w:val="center"/>
              <w:rPr>
                <w:rFonts w:hint="eastAsia" w:ascii="仿宋_GB2312" w:hAnsi="仿宋_GB2312" w:eastAsia="仿宋_GB2312" w:cs="仿宋_GB2312"/>
                <w:szCs w:val="21"/>
                <w:lang w:eastAsia="zh-CN"/>
              </w:rPr>
            </w:pPr>
            <w:r>
              <w:rPr>
                <w:rFonts w:hint="eastAsia" w:ascii="Times New Roman" w:hAnsi="Times New Roman" w:cs="Times New Roman"/>
                <w:sz w:val="22"/>
                <w:szCs w:val="24"/>
                <w:lang w:eastAsia="zh-CN"/>
              </w:rPr>
              <w:t>（不超过</w:t>
            </w:r>
            <w:r>
              <w:rPr>
                <w:rFonts w:ascii="Times New Roman" w:hAnsi="Times New Roman" w:cs="Times New Roman"/>
                <w:sz w:val="22"/>
                <w:szCs w:val="24"/>
                <w:lang w:eastAsia="zh-CN"/>
              </w:rPr>
              <w:t>300字）</w:t>
            </w:r>
          </w:p>
        </w:tc>
        <w:tc>
          <w:tcPr>
            <w:tcW w:w="7464" w:type="dxa"/>
            <w:tcBorders>
              <w:top w:val="single" w:color="auto" w:sz="4" w:space="0"/>
              <w:left w:val="nil"/>
              <w:bottom w:val="single" w:color="auto" w:sz="4" w:space="0"/>
              <w:right w:val="single" w:color="auto" w:sz="4" w:space="0"/>
            </w:tcBorders>
            <w:vAlign w:val="center"/>
          </w:tcPr>
          <w:p w14:paraId="5BA9B0FD">
            <w:pPr>
              <w:spacing w:before="156" w:beforeLines="50" w:after="156" w:afterLines="50"/>
              <w:rPr>
                <w:rFonts w:ascii="Times New Roman" w:hAnsi="Times New Roman" w:cs="Times New Roman"/>
                <w:b/>
                <w:sz w:val="22"/>
                <w:szCs w:val="24"/>
                <w:lang w:eastAsia="zh-CN"/>
              </w:rPr>
            </w:pPr>
          </w:p>
        </w:tc>
      </w:tr>
      <w:tr w14:paraId="483393F5">
        <w:tblPrEx>
          <w:tblCellMar>
            <w:top w:w="0" w:type="dxa"/>
            <w:left w:w="108" w:type="dxa"/>
            <w:bottom w:w="0" w:type="dxa"/>
            <w:right w:w="108" w:type="dxa"/>
          </w:tblCellMar>
        </w:tblPrEx>
        <w:trPr>
          <w:trHeight w:val="2426" w:hRule="atLeast"/>
        </w:trPr>
        <w:tc>
          <w:tcPr>
            <w:tcW w:w="2136" w:type="dxa"/>
            <w:tcBorders>
              <w:top w:val="single" w:color="auto" w:sz="4" w:space="0"/>
              <w:left w:val="single" w:color="auto" w:sz="4" w:space="0"/>
              <w:bottom w:val="single" w:color="auto" w:sz="4" w:space="0"/>
              <w:right w:val="single" w:color="auto" w:sz="4" w:space="0"/>
            </w:tcBorders>
            <w:vAlign w:val="center"/>
          </w:tcPr>
          <w:p w14:paraId="1804C3DE">
            <w:pPr>
              <w:jc w:val="center"/>
              <w:rPr>
                <w:rFonts w:ascii="Times New Roman" w:hAnsi="Times New Roman" w:cs="Times New Roman"/>
                <w:b/>
                <w:sz w:val="24"/>
              </w:rPr>
            </w:pPr>
            <w:r>
              <w:rPr>
                <w:rFonts w:hint="eastAsia" w:ascii="Times New Roman" w:hAnsi="Times New Roman" w:cs="Times New Roman"/>
                <w:b/>
                <w:sz w:val="24"/>
              </w:rPr>
              <w:t>考核指标</w:t>
            </w:r>
          </w:p>
          <w:p w14:paraId="09DAD6B2">
            <w:pPr>
              <w:jc w:val="center"/>
              <w:rPr>
                <w:rFonts w:ascii="Times New Roman" w:hAnsi="Times New Roman" w:cs="Times New Roman"/>
                <w:b/>
                <w:sz w:val="24"/>
              </w:rPr>
            </w:pPr>
            <w:r>
              <w:rPr>
                <w:rFonts w:hint="eastAsia" w:ascii="Times New Roman" w:hAnsi="Times New Roman" w:cs="Times New Roman"/>
                <w:sz w:val="22"/>
                <w:szCs w:val="24"/>
              </w:rPr>
              <w:t>（</w:t>
            </w:r>
            <w:r>
              <w:rPr>
                <w:rFonts w:ascii="Times New Roman" w:hAnsi="Times New Roman" w:cs="Times New Roman"/>
                <w:sz w:val="22"/>
                <w:szCs w:val="24"/>
              </w:rPr>
              <w:t>150-300</w:t>
            </w:r>
            <w:r>
              <w:rPr>
                <w:rFonts w:hint="eastAsia" w:ascii="Times New Roman" w:hAnsi="Times New Roman" w:cs="Times New Roman"/>
                <w:sz w:val="22"/>
                <w:szCs w:val="24"/>
              </w:rPr>
              <w:t>字）</w:t>
            </w:r>
          </w:p>
        </w:tc>
        <w:tc>
          <w:tcPr>
            <w:tcW w:w="7464" w:type="dxa"/>
            <w:tcBorders>
              <w:top w:val="single" w:color="auto" w:sz="4" w:space="0"/>
              <w:left w:val="nil"/>
              <w:bottom w:val="single" w:color="auto" w:sz="4" w:space="0"/>
              <w:right w:val="single" w:color="auto" w:sz="4" w:space="0"/>
            </w:tcBorders>
            <w:vAlign w:val="center"/>
          </w:tcPr>
          <w:p w14:paraId="2B6B233D">
            <w:pPr>
              <w:spacing w:before="156" w:beforeLines="50" w:after="156" w:afterLines="50"/>
              <w:rPr>
                <w:rFonts w:ascii="Times New Roman" w:hAnsi="Times New Roman" w:cs="Times New Roman"/>
                <w:sz w:val="22"/>
                <w:szCs w:val="24"/>
              </w:rPr>
            </w:pPr>
          </w:p>
        </w:tc>
      </w:tr>
      <w:tr w14:paraId="25219B2F">
        <w:tblPrEx>
          <w:tblCellMar>
            <w:top w:w="0" w:type="dxa"/>
            <w:left w:w="108" w:type="dxa"/>
            <w:bottom w:w="0" w:type="dxa"/>
            <w:right w:w="108" w:type="dxa"/>
          </w:tblCellMar>
        </w:tblPrEx>
        <w:trPr>
          <w:trHeight w:val="494" w:hRule="atLeast"/>
        </w:trPr>
        <w:tc>
          <w:tcPr>
            <w:tcW w:w="2136" w:type="dxa"/>
            <w:tcBorders>
              <w:top w:val="single" w:color="auto" w:sz="4" w:space="0"/>
              <w:left w:val="single" w:color="auto" w:sz="4" w:space="0"/>
              <w:bottom w:val="single" w:color="auto" w:sz="4" w:space="0"/>
              <w:right w:val="single" w:color="auto" w:sz="4" w:space="0"/>
            </w:tcBorders>
            <w:vAlign w:val="center"/>
          </w:tcPr>
          <w:p w14:paraId="7DBFEBB3">
            <w:pPr>
              <w:jc w:val="center"/>
              <w:rPr>
                <w:rFonts w:ascii="Times New Roman" w:hAnsi="Times New Roman" w:cs="Times New Roman"/>
                <w:b/>
                <w:sz w:val="24"/>
              </w:rPr>
            </w:pPr>
            <w:r>
              <w:rPr>
                <w:rFonts w:hint="eastAsia" w:ascii="Times New Roman" w:hAnsi="Times New Roman" w:cs="Times New Roman"/>
                <w:b/>
                <w:sz w:val="24"/>
              </w:rPr>
              <w:t>关键词</w:t>
            </w:r>
          </w:p>
        </w:tc>
        <w:tc>
          <w:tcPr>
            <w:tcW w:w="7464" w:type="dxa"/>
            <w:tcBorders>
              <w:top w:val="single" w:color="auto" w:sz="4" w:space="0"/>
              <w:left w:val="nil"/>
              <w:bottom w:val="single" w:color="auto" w:sz="4" w:space="0"/>
              <w:right w:val="single" w:color="auto" w:sz="4" w:space="0"/>
            </w:tcBorders>
            <w:vAlign w:val="center"/>
          </w:tcPr>
          <w:p w14:paraId="46C24017">
            <w:pPr>
              <w:spacing w:before="156" w:beforeLines="50" w:after="156" w:afterLines="50"/>
              <w:rPr>
                <w:rFonts w:ascii="Times New Roman" w:hAnsi="Times New Roman" w:cs="Times New Roman"/>
                <w:sz w:val="22"/>
                <w:szCs w:val="24"/>
              </w:rPr>
            </w:pPr>
            <w:r>
              <w:rPr>
                <w:rFonts w:ascii="Times New Roman" w:hAnsi="Times New Roman" w:cs="Times New Roman"/>
                <w:sz w:val="22"/>
                <w:szCs w:val="24"/>
              </w:rPr>
              <w:t>5</w:t>
            </w:r>
            <w:r>
              <w:rPr>
                <w:rFonts w:hint="eastAsia" w:ascii="Times New Roman" w:hAnsi="Times New Roman" w:cs="Times New Roman"/>
                <w:sz w:val="22"/>
                <w:szCs w:val="24"/>
              </w:rPr>
              <w:t>个以内关键词</w:t>
            </w:r>
          </w:p>
        </w:tc>
      </w:tr>
      <w:tr w14:paraId="6C3FBC94">
        <w:tblPrEx>
          <w:tblCellMar>
            <w:top w:w="0" w:type="dxa"/>
            <w:left w:w="108" w:type="dxa"/>
            <w:bottom w:w="0" w:type="dxa"/>
            <w:right w:w="108" w:type="dxa"/>
          </w:tblCellMar>
        </w:tblPrEx>
        <w:trPr>
          <w:trHeight w:val="494" w:hRule="atLeast"/>
        </w:trPr>
        <w:tc>
          <w:tcPr>
            <w:tcW w:w="2136" w:type="dxa"/>
            <w:tcBorders>
              <w:top w:val="single" w:color="auto" w:sz="4" w:space="0"/>
              <w:left w:val="single" w:color="auto" w:sz="4" w:space="0"/>
              <w:bottom w:val="single" w:color="auto" w:sz="4" w:space="0"/>
              <w:right w:val="single" w:color="auto" w:sz="4" w:space="0"/>
            </w:tcBorders>
            <w:vAlign w:val="center"/>
          </w:tcPr>
          <w:p w14:paraId="154B11F9">
            <w:pPr>
              <w:jc w:val="center"/>
              <w:rPr>
                <w:rFonts w:ascii="Times New Roman" w:hAnsi="Times New Roman" w:eastAsia="黑体" w:cs="Times New Roman"/>
                <w:b/>
                <w:sz w:val="24"/>
                <w:lang w:eastAsia="zh-CN"/>
              </w:rPr>
            </w:pPr>
            <w:r>
              <w:rPr>
                <w:rFonts w:hint="eastAsia" w:ascii="黑体" w:hAnsi="黑体" w:eastAsia="黑体" w:cs="黑体"/>
                <w:spacing w:val="3"/>
                <w:sz w:val="24"/>
                <w:lang w:eastAsia="zh-CN"/>
              </w:rPr>
              <w:t>往年的广东省量子专项项目情况</w:t>
            </w:r>
          </w:p>
        </w:tc>
        <w:tc>
          <w:tcPr>
            <w:tcW w:w="7464" w:type="dxa"/>
            <w:tcBorders>
              <w:top w:val="single" w:color="auto" w:sz="4" w:space="0"/>
              <w:left w:val="nil"/>
              <w:bottom w:val="single" w:color="auto" w:sz="4" w:space="0"/>
              <w:right w:val="single" w:color="auto" w:sz="4" w:space="0"/>
            </w:tcBorders>
            <w:vAlign w:val="center"/>
          </w:tcPr>
          <w:p w14:paraId="7BFD4443">
            <w:pPr>
              <w:spacing w:before="156" w:beforeLines="50" w:after="156" w:afterLines="50"/>
              <w:rPr>
                <w:rFonts w:hint="eastAsia" w:ascii="黑体" w:hAnsi="黑体" w:eastAsia="黑体" w:cs="黑体"/>
                <w:spacing w:val="3"/>
                <w:sz w:val="24"/>
                <w:lang w:eastAsia="zh-CN"/>
              </w:rPr>
            </w:pPr>
            <w:r>
              <w:rPr>
                <w:rFonts w:hint="eastAsia" w:ascii="黑体" w:hAnsi="黑体" w:eastAsia="黑体" w:cs="黑体"/>
                <w:spacing w:val="3"/>
                <w:sz w:val="24"/>
                <w:lang w:eastAsia="zh-CN"/>
              </w:rPr>
              <w:t>是否主持或参与往年量子专项项目</w:t>
            </w:r>
          </w:p>
          <w:p w14:paraId="3E30B121">
            <w:pPr>
              <w:spacing w:before="156" w:beforeLines="50" w:after="156" w:afterLines="50"/>
              <w:rPr>
                <w:rFonts w:ascii="Times New Roman" w:hAnsi="Times New Roman" w:cs="Times New Roman"/>
                <w:sz w:val="22"/>
                <w:lang w:eastAsia="zh-CN"/>
              </w:rPr>
            </w:pPr>
            <w:r>
              <w:rPr>
                <w:rFonts w:hint="eastAsia" w:ascii="Times New Roman" w:hAnsi="Times New Roman" w:cs="Times New Roman"/>
                <w:sz w:val="22"/>
                <w:lang w:eastAsia="zh-CN"/>
              </w:rPr>
              <w:t>□主持</w:t>
            </w:r>
            <w:r>
              <w:rPr>
                <w:rFonts w:ascii="Times New Roman" w:hAnsi="Times New Roman" w:cs="Times New Roman"/>
                <w:sz w:val="22"/>
                <w:lang w:eastAsia="zh-CN"/>
              </w:rPr>
              <w:t xml:space="preserve">    </w:t>
            </w:r>
            <w:r>
              <w:rPr>
                <w:rFonts w:hint="eastAsia" w:ascii="Times New Roman" w:hAnsi="Times New Roman" w:cs="Times New Roman"/>
                <w:sz w:val="22"/>
                <w:lang w:eastAsia="zh-CN"/>
              </w:rPr>
              <w:t>□参与    □从未参与过量子专项项目</w:t>
            </w:r>
          </w:p>
          <w:p w14:paraId="6D082351">
            <w:pPr>
              <w:spacing w:before="156" w:beforeLines="50" w:after="156" w:afterLines="50"/>
              <w:rPr>
                <w:rFonts w:ascii="Times New Roman" w:hAnsi="Times New Roman" w:cs="Times New Roman"/>
                <w:sz w:val="22"/>
                <w:szCs w:val="24"/>
                <w:lang w:eastAsia="zh-CN"/>
              </w:rPr>
            </w:pPr>
            <w:r>
              <w:rPr>
                <w:rFonts w:hint="eastAsia" w:ascii="Times New Roman" w:hAnsi="Times New Roman" w:cs="Times New Roman"/>
                <w:sz w:val="22"/>
                <w:lang w:eastAsia="zh-CN"/>
              </w:rPr>
              <w:t>如有，请列明参与主持或参与省专项年份、项目负责人、项目名称以及项目号并简要说明本建议与既往项目的承接或本质区别（≤150字）。</w:t>
            </w:r>
          </w:p>
        </w:tc>
      </w:tr>
    </w:tbl>
    <w:p w14:paraId="6432782B">
      <w:pPr>
        <w:pStyle w:val="12"/>
        <w:adjustRightInd w:val="0"/>
        <w:snapToGrid w:val="0"/>
        <w:jc w:val="both"/>
        <w:rPr>
          <w:rFonts w:eastAsia="黑体"/>
          <w:color w:val="000000"/>
          <w:sz w:val="32"/>
          <w:szCs w:val="32"/>
          <w:lang w:eastAsia="zh-CN"/>
        </w:rPr>
      </w:pPr>
    </w:p>
    <w:p w14:paraId="7F38F3F1">
      <w:pPr>
        <w:pStyle w:val="12"/>
        <w:adjustRightInd w:val="0"/>
        <w:snapToGrid w:val="0"/>
        <w:jc w:val="center"/>
        <w:rPr>
          <w:rFonts w:eastAsia="黑体"/>
          <w:sz w:val="36"/>
          <w:szCs w:val="36"/>
          <w:lang w:eastAsia="zh-CN"/>
        </w:rPr>
      </w:pPr>
      <w:r>
        <w:rPr>
          <w:rFonts w:hint="eastAsia" w:eastAsia="黑体"/>
          <w:sz w:val="36"/>
          <w:szCs w:val="36"/>
          <w:lang w:eastAsia="zh-CN"/>
        </w:rPr>
        <w:t>2027年度广东省量子科学战略专项</w:t>
      </w:r>
    </w:p>
    <w:p w14:paraId="46F35B16">
      <w:pPr>
        <w:pStyle w:val="12"/>
        <w:adjustRightInd w:val="0"/>
        <w:snapToGrid w:val="0"/>
        <w:jc w:val="center"/>
        <w:rPr>
          <w:rFonts w:eastAsia="黑体"/>
          <w:sz w:val="36"/>
          <w:szCs w:val="36"/>
          <w:lang w:eastAsia="zh-CN"/>
        </w:rPr>
      </w:pPr>
      <w:r>
        <w:rPr>
          <w:rFonts w:hint="eastAsia" w:eastAsia="黑体"/>
          <w:sz w:val="36"/>
          <w:szCs w:val="36"/>
          <w:lang w:eastAsia="zh-CN"/>
        </w:rPr>
        <w:t>项目指南建议报告</w:t>
      </w:r>
    </w:p>
    <w:p w14:paraId="00FA429F">
      <w:pPr>
        <w:pStyle w:val="12"/>
        <w:adjustRightInd w:val="0"/>
        <w:snapToGrid w:val="0"/>
        <w:jc w:val="center"/>
        <w:rPr>
          <w:rFonts w:eastAsia="黑体"/>
          <w:color w:val="000000"/>
          <w:sz w:val="36"/>
          <w:szCs w:val="36"/>
          <w:lang w:eastAsia="zh-CN"/>
        </w:rPr>
      </w:pPr>
      <w:r>
        <w:rPr>
          <w:rFonts w:hint="eastAsia" w:eastAsia="黑体"/>
          <w:sz w:val="36"/>
          <w:szCs w:val="36"/>
          <w:lang w:eastAsia="zh-CN"/>
        </w:rPr>
        <w:t>（提纲，仅重大及重点项目需填写）</w:t>
      </w:r>
    </w:p>
    <w:p w14:paraId="1BDA8942">
      <w:pPr>
        <w:spacing w:line="560" w:lineRule="exact"/>
        <w:rPr>
          <w:rFonts w:hint="eastAsia" w:ascii="黑体" w:hAnsi="黑体" w:eastAsia="黑体" w:cs="黑体"/>
          <w:bCs/>
          <w:sz w:val="32"/>
          <w:szCs w:val="32"/>
          <w:lang w:eastAsia="zh-CN"/>
        </w:rPr>
      </w:pPr>
    </w:p>
    <w:p w14:paraId="29D064FF">
      <w:pPr>
        <w:numPr>
          <w:ilvl w:val="0"/>
          <w:numId w:val="6"/>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研究背景</w:t>
      </w:r>
    </w:p>
    <w:p w14:paraId="3ABF5C92">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简要说明研究的科学意义和必要性，客观介绍国内外发展现状与代表性进展，凝练拟解决的关键科学问题和关键技术，论证立项的紧迫性与在粤港澳大湾区布局中的战略价值（500字以内）。</w:t>
      </w:r>
    </w:p>
    <w:p w14:paraId="5A4F2BA2">
      <w:pPr>
        <w:numPr>
          <w:ilvl w:val="0"/>
          <w:numId w:val="6"/>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研究方案和内容</w:t>
      </w:r>
    </w:p>
    <w:p w14:paraId="2A49DF3D">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围绕科学问题的内涵和关键技术的难点，阐述项目的创新性、技术路径、可行性和潜在风险等(2000字以内)</w:t>
      </w:r>
    </w:p>
    <w:p w14:paraId="6F05E486">
      <w:pPr>
        <w:numPr>
          <w:ilvl w:val="0"/>
          <w:numId w:val="6"/>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考核指标</w:t>
      </w:r>
    </w:p>
    <w:p w14:paraId="501CDFD1">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考核指标应细化、明确、可考核（500字以内）。</w:t>
      </w:r>
    </w:p>
    <w:p w14:paraId="7EC32791">
      <w:pPr>
        <w:numPr>
          <w:ilvl w:val="0"/>
          <w:numId w:val="6"/>
        </w:numPr>
        <w:spacing w:line="560" w:lineRule="exact"/>
        <w:ind w:firstLine="648"/>
        <w:rPr>
          <w:rFonts w:hint="eastAsia" w:ascii="黑体" w:hAnsi="黑体" w:eastAsia="黑体" w:cs="黑体"/>
          <w:bCs/>
          <w:sz w:val="32"/>
          <w:szCs w:val="32"/>
          <w:lang w:eastAsia="zh-CN"/>
        </w:rPr>
      </w:pPr>
      <w:r>
        <w:rPr>
          <w:rFonts w:hint="eastAsia" w:ascii="黑体" w:hAnsi="黑体" w:eastAsia="黑体" w:cs="黑体"/>
          <w:bCs/>
          <w:sz w:val="32"/>
          <w:szCs w:val="32"/>
          <w:lang w:eastAsia="zh-CN"/>
        </w:rPr>
        <w:t>预期成果</w:t>
      </w:r>
    </w:p>
    <w:p w14:paraId="1FD1F34B">
      <w:pPr>
        <w:spacing w:line="560" w:lineRule="exact"/>
        <w:ind w:firstLine="640" w:firstLineChars="200"/>
        <w:rPr>
          <w:rFonts w:hint="eastAsia" w:ascii="仿宋_GB2312" w:hAnsi="仿宋_GB2312" w:eastAsia="仿宋_GB2312" w:cs="Times New Roman"/>
          <w:bCs/>
          <w:sz w:val="32"/>
          <w:szCs w:val="32"/>
          <w:lang w:eastAsia="zh-CN"/>
        </w:rPr>
      </w:pPr>
      <w:r>
        <w:rPr>
          <w:rFonts w:hint="eastAsia" w:ascii="仿宋_GB2312" w:hAnsi="仿宋_GB2312" w:eastAsia="仿宋_GB2312" w:cs="Times New Roman"/>
          <w:bCs/>
          <w:sz w:val="32"/>
          <w:szCs w:val="32"/>
          <w:lang w:eastAsia="zh-CN"/>
        </w:rPr>
        <w:t>按以下格式列出标志性成果（建议2–4项）：</w:t>
      </w:r>
    </w:p>
    <w:p w14:paraId="546F4369">
      <w:pPr>
        <w:pStyle w:val="12"/>
        <w:adjustRightInd w:val="0"/>
        <w:snapToGrid w:val="0"/>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成果一</w:t>
      </w:r>
    </w:p>
    <w:p w14:paraId="4B79F1B4">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（1）成果名称：</w:t>
      </w:r>
    </w:p>
    <w:p w14:paraId="203A6913">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（2）成果类型：□学术论文/科学发现　□ 关键技术/原理样机　□ 专利/标准　□ 平台/装置　□ 其他 </w:t>
      </w:r>
    </w:p>
    <w:p w14:paraId="7BDDB9D7">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（3）对应的考核指标：</w:t>
      </w:r>
    </w:p>
    <w:p w14:paraId="042F794D">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（4）产业化前景：简述潜在应用场景、目标行业及可衔接的下游产业链环节（如量子通信、量子计算整机、量子传感与计量、关键元器件等） </w:t>
      </w:r>
    </w:p>
    <w:p w14:paraId="2C4D2CC1">
      <w:pPr>
        <w:pStyle w:val="12"/>
        <w:adjustRightInd w:val="0"/>
        <w:snapToGrid w:val="0"/>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成果二</w:t>
      </w:r>
    </w:p>
    <w:p w14:paraId="27BAC148">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（1）成果名称：</w:t>
      </w:r>
    </w:p>
    <w:p w14:paraId="4295A07A">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（2）成果类型：□学术论文/科学发现　□ 关键技术/原理样机　□ 专利/标准　□ 平台/装置　□ 其他 </w:t>
      </w:r>
    </w:p>
    <w:p w14:paraId="013A4071">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（3）对应的考核指标：</w:t>
      </w:r>
    </w:p>
    <w:p w14:paraId="32C6D38B">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（4）产业化前景：简述潜在应用场景、目标行业及可衔接的下游产业链环节（如量子通信、量子计算整机、量子传感与计量、关键元器件等） </w:t>
      </w:r>
    </w:p>
    <w:p w14:paraId="10AE4096">
      <w:pPr>
        <w:pStyle w:val="12"/>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p>
    <w:p w14:paraId="07F0653E">
      <w:pPr>
        <w:pStyle w:val="12"/>
        <w:adjustRightInd w:val="0"/>
        <w:snapToGrid w:val="0"/>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五、国内有关优势研究团队</w:t>
      </w:r>
    </w:p>
    <w:p w14:paraId="2C68B3D5">
      <w:pPr>
        <w:spacing w:line="240" w:lineRule="auto"/>
        <w:ind w:firstLine="640" w:firstLineChars="200"/>
        <w:rPr>
          <w:rFonts w:hint="eastAsia" w:ascii="方正小标宋简体" w:hAnsi="仿宋_GB2312" w:eastAsia="方正小标宋简体"/>
          <w:bCs/>
          <w:sz w:val="40"/>
          <w:szCs w:val="40"/>
          <w:lang w:eastAsia="zh-CN"/>
        </w:rPr>
      </w:pPr>
      <w:r>
        <w:rPr>
          <w:rFonts w:hint="eastAsia" w:ascii="仿宋" w:hAnsi="仿宋" w:eastAsia="仿宋"/>
          <w:sz w:val="32"/>
          <w:szCs w:val="32"/>
          <w:lang w:eastAsia="zh-CN"/>
        </w:rPr>
        <w:t>简要分析国内本领域代表性研究团队的方向特色与已有基础，包括团队负责人的教育和工作经历、研究领域、主持或参加重大科研项目情况、重要荣誉奖项，以及与本指南相关的代表性成果及十篇代表作。</w:t>
      </w:r>
    </w:p>
    <w:sectPr>
      <w:pgSz w:w="11906" w:h="16838"/>
      <w:pgMar w:top="1440" w:right="1800" w:bottom="1440" w:left="1800" w:header="851" w:footer="52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CC92"/>
    <w:multiLevelType w:val="singleLevel"/>
    <w:tmpl w:val="9503CC92"/>
    <w:lvl w:ilvl="0" w:tentative="0">
      <w:start w:val="1"/>
      <w:numFmt w:val="chineseCounting"/>
      <w:suff w:val="nothing"/>
      <w:lvlText w:val="（%1）"/>
      <w:lvlJc w:val="left"/>
      <w:rPr>
        <w:rFonts w:hint="eastAsia"/>
      </w:rPr>
    </w:lvl>
  </w:abstractNum>
  <w:abstractNum w:abstractNumId="1">
    <w:nsid w:val="BEEE2200"/>
    <w:multiLevelType w:val="singleLevel"/>
    <w:tmpl w:val="BEEE2200"/>
    <w:lvl w:ilvl="0" w:tentative="0">
      <w:start w:val="1"/>
      <w:numFmt w:val="chineseCounting"/>
      <w:suff w:val="nothing"/>
      <w:lvlText w:val="%1、"/>
      <w:lvlJc w:val="left"/>
      <w:rPr>
        <w:rFonts w:hint="eastAsia"/>
      </w:rPr>
    </w:lvl>
  </w:abstractNum>
  <w:abstractNum w:abstractNumId="2">
    <w:nsid w:val="FBB32376"/>
    <w:multiLevelType w:val="singleLevel"/>
    <w:tmpl w:val="FBB32376"/>
    <w:lvl w:ilvl="0" w:tentative="0">
      <w:start w:val="1"/>
      <w:numFmt w:val="chineseCounting"/>
      <w:suff w:val="nothing"/>
      <w:lvlText w:val="%1、"/>
      <w:lvlJc w:val="left"/>
      <w:rPr>
        <w:rFonts w:hint="eastAsia"/>
      </w:rPr>
    </w:lvl>
  </w:abstractNum>
  <w:abstractNum w:abstractNumId="3">
    <w:nsid w:val="3DD5A225"/>
    <w:multiLevelType w:val="singleLevel"/>
    <w:tmpl w:val="3DD5A225"/>
    <w:lvl w:ilvl="0" w:tentative="0">
      <w:start w:val="2"/>
      <w:numFmt w:val="chineseCounting"/>
      <w:suff w:val="nothing"/>
      <w:lvlText w:val="（%1）"/>
      <w:lvlJc w:val="left"/>
      <w:rPr>
        <w:rFonts w:hint="eastAsia"/>
      </w:rPr>
    </w:lvl>
  </w:abstractNum>
  <w:abstractNum w:abstractNumId="4">
    <w:nsid w:val="4B2ECC22"/>
    <w:multiLevelType w:val="singleLevel"/>
    <w:tmpl w:val="4B2ECC22"/>
    <w:lvl w:ilvl="0" w:tentative="0">
      <w:start w:val="2"/>
      <w:numFmt w:val="decimal"/>
      <w:suff w:val="nothing"/>
      <w:lvlText w:val="%1、"/>
      <w:lvlJc w:val="left"/>
    </w:lvl>
  </w:abstractNum>
  <w:abstractNum w:abstractNumId="5">
    <w:nsid w:val="5AC57988"/>
    <w:multiLevelType w:val="singleLevel"/>
    <w:tmpl w:val="5AC57988"/>
    <w:lvl w:ilvl="0" w:tentative="0">
      <w:start w:val="2"/>
      <w:numFmt w:val="chineseCounting"/>
      <w:suff w:val="space"/>
      <w:lvlText w:val="（%1）"/>
      <w:lvlJc w:val="left"/>
      <w:rPr>
        <w:rFonts w:hint="eastAsia"/>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2C2F5C"/>
    <w:rsid w:val="000819BA"/>
    <w:rsid w:val="0008421B"/>
    <w:rsid w:val="001B651B"/>
    <w:rsid w:val="003E479E"/>
    <w:rsid w:val="005E5108"/>
    <w:rsid w:val="00607203"/>
    <w:rsid w:val="0075191F"/>
    <w:rsid w:val="009259C3"/>
    <w:rsid w:val="00993F83"/>
    <w:rsid w:val="00A87B98"/>
    <w:rsid w:val="02410018"/>
    <w:rsid w:val="153025A0"/>
    <w:rsid w:val="1AA84A01"/>
    <w:rsid w:val="1B0659E2"/>
    <w:rsid w:val="1C406F60"/>
    <w:rsid w:val="1D5F1C7A"/>
    <w:rsid w:val="22921CC7"/>
    <w:rsid w:val="268110EC"/>
    <w:rsid w:val="2E6E5EBA"/>
    <w:rsid w:val="330E4C4E"/>
    <w:rsid w:val="3784633D"/>
    <w:rsid w:val="3C111A19"/>
    <w:rsid w:val="3CAD4429"/>
    <w:rsid w:val="3E650313"/>
    <w:rsid w:val="3F5F6614"/>
    <w:rsid w:val="3FA1262D"/>
    <w:rsid w:val="3FBB679F"/>
    <w:rsid w:val="41DF526B"/>
    <w:rsid w:val="42E43CE5"/>
    <w:rsid w:val="45822CF4"/>
    <w:rsid w:val="4B7363C4"/>
    <w:rsid w:val="4DD51249"/>
    <w:rsid w:val="4EFE5D30"/>
    <w:rsid w:val="4F783D82"/>
    <w:rsid w:val="59951986"/>
    <w:rsid w:val="5D2C2F5C"/>
    <w:rsid w:val="5E972DD4"/>
    <w:rsid w:val="629F782C"/>
    <w:rsid w:val="644B2FA4"/>
    <w:rsid w:val="653528A1"/>
    <w:rsid w:val="6A2471B2"/>
    <w:rsid w:val="6A312BF8"/>
    <w:rsid w:val="6B820737"/>
    <w:rsid w:val="6BA5208B"/>
    <w:rsid w:val="6F886897"/>
    <w:rsid w:val="7043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2">
    <w:name w:val="heading 1"/>
    <w:basedOn w:val="1"/>
    <w:next w:val="1"/>
    <w:qFormat/>
    <w:uiPriority w:val="0"/>
    <w:pPr>
      <w:spacing w:beforeAutospacing="1" w:after="0" w:afterAutospacing="1"/>
      <w:outlineLvl w:val="0"/>
    </w:pPr>
    <w:rPr>
      <w:rFonts w:hint="eastAsia" w:cs="Times New Roman"/>
      <w:b/>
      <w:bCs/>
      <w:kern w:val="44"/>
      <w:sz w:val="48"/>
      <w:szCs w:val="48"/>
      <w:lang w:eastAsia="zh-CN"/>
    </w:rPr>
  </w:style>
  <w:style w:type="paragraph" w:styleId="3">
    <w:name w:val="heading 2"/>
    <w:basedOn w:val="1"/>
    <w:next w:val="1"/>
    <w:semiHidden/>
    <w:unhideWhenUsed/>
    <w:qFormat/>
    <w:uiPriority w:val="0"/>
    <w:pPr>
      <w:spacing w:beforeAutospacing="1" w:after="0" w:afterAutospacing="1"/>
      <w:outlineLvl w:val="1"/>
    </w:pPr>
    <w:rPr>
      <w:rFonts w:hint="eastAsia" w:cs="Times New Roman"/>
      <w:b/>
      <w:bCs/>
      <w:sz w:val="36"/>
      <w:szCs w:val="36"/>
      <w:lang w:eastAsia="zh-CN"/>
    </w:rPr>
  </w:style>
  <w:style w:type="paragraph" w:styleId="4">
    <w:name w:val="heading 3"/>
    <w:basedOn w:val="1"/>
    <w:next w:val="1"/>
    <w:semiHidden/>
    <w:unhideWhenUsed/>
    <w:qFormat/>
    <w:uiPriority w:val="0"/>
    <w:pPr>
      <w:spacing w:beforeAutospacing="1" w:after="0" w:afterAutospacing="1"/>
      <w:outlineLvl w:val="2"/>
    </w:pPr>
    <w:rPr>
      <w:rFonts w:hint="eastAsia" w:cs="Times New Roman"/>
      <w:b/>
      <w:bCs/>
      <w:sz w:val="27"/>
      <w:szCs w:val="27"/>
      <w:lang w:eastAsia="zh-CN"/>
    </w:rPr>
  </w:style>
  <w:style w:type="paragraph" w:styleId="5">
    <w:name w:val="heading 4"/>
    <w:basedOn w:val="1"/>
    <w:next w:val="1"/>
    <w:semiHidden/>
    <w:unhideWhenUsed/>
    <w:qFormat/>
    <w:uiPriority w:val="0"/>
    <w:pPr>
      <w:spacing w:beforeAutospacing="1" w:after="0" w:afterAutospacing="1"/>
      <w:outlineLvl w:val="3"/>
    </w:pPr>
    <w:rPr>
      <w:rFonts w:hint="eastAsia" w:cs="Times New Roman"/>
      <w:b/>
      <w:bCs/>
      <w:sz w:val="24"/>
      <w:szCs w:val="24"/>
      <w:lang w:eastAsia="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qFormat/>
    <w:uiPriority w:val="0"/>
    <w:pPr>
      <w:spacing w:beforeAutospacing="1" w:after="0" w:afterAutospacing="1"/>
    </w:pPr>
    <w:rPr>
      <w:rFonts w:cs="Times New Roman"/>
      <w:sz w:val="24"/>
      <w:lang w:eastAsia="zh-CN"/>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1"/>
    <w:semiHidden/>
    <w:unhideWhenUsed/>
    <w:qFormat/>
    <w:uiPriority w:val="0"/>
    <w:tblPr>
      <w:tblCellMar>
        <w:top w:w="0" w:type="dxa"/>
        <w:left w:w="0" w:type="dxa"/>
        <w:bottom w:w="0" w:type="dxa"/>
        <w:right w:w="0" w:type="dxa"/>
      </w:tblCellMar>
    </w:tblPr>
  </w:style>
  <w:style w:type="paragraph" w:customStyle="1" w:styleId="12">
    <w:name w:val="普通(网站)1"/>
    <w:basedOn w:val="1"/>
    <w:qFormat/>
    <w:uiPriority w:val="0"/>
    <w:rPr>
      <w:rFonts w:ascii="Times New Roman" w:hAnsi="Times New Roman" w:cs="Times New Roman"/>
      <w:sz w:val="24"/>
      <w:szCs w:val="20"/>
    </w:rPr>
  </w:style>
  <w:style w:type="paragraph" w:customStyle="1" w:styleId="13">
    <w:name w:val="Revision"/>
    <w:hidden/>
    <w:unhideWhenUsed/>
    <w:qFormat/>
    <w:uiPriority w:val="99"/>
    <w:rPr>
      <w:rFonts w:ascii="宋体" w:hAnsi="宋体" w:eastAsia="宋体" w:cstheme="minorBidi"/>
      <w:sz w:val="21"/>
      <w:szCs w:val="22"/>
      <w:lang w:val="en-US" w:eastAsia="en-US" w:bidi="ar-SA"/>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3124</Words>
  <Characters>3223</Characters>
  <Lines>107</Lines>
  <Paragraphs>112</Paragraphs>
  <TotalTime>273</TotalTime>
  <ScaleCrop>false</ScaleCrop>
  <LinksUpToDate>false</LinksUpToDate>
  <CharactersWithSpaces>3272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2026-05-14T15:31:00Z</dcterms:created>
  <dc:creator>赵哲</dc:creator>
  <cp:lastModifiedBy>赵哲</cp:lastModifiedBy>
  <cp:lastPrinted>2026-04-28T09:04:00Z</cp:lastPrinted>
  <dcterms:modified xsi:type="dcterms:W3CDTF">2026-05-20T01:59:18Z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0D264379601D4C97BBAAA6FB4014CE39_13</vt:lpwstr>
  </property>
  <property fmtid="{D5CDD505-2E9C-101B-9397-08002B2CF9AE}" pid="4" name="KSOTemplateDocerSaveRecord">
    <vt:lpwstr>eyJoZGlkIjoiNDI1NGQ4MDY4NjMxYWVlMzc3ODM2NDE0MmU1ODUxYzYiLCJ1c2VySWQiOiIxMDMwNzg4NjI5In0=</vt:lpwstr>
  </property>
</Properties>
</file>